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lineRule="auto" w:line="276" w:before="0" w:after="160"/>
        <w:ind w:left="6480" w:firstLine="720"/>
        <w:rPr>
          <w:color w:val="2E75B5"/>
          <w:sz w:val="22"/>
          <w:szCs w:val="22"/>
        </w:rPr>
      </w:pPr>
      <w:bookmarkStart w:id="0" w:name="_heading=h.gjdgxs"/>
      <w:bookmarkEnd w:id="0"/>
      <w:r>
        <w:rPr>
          <w:b/>
          <w:sz w:val="22"/>
          <w:szCs w:val="22"/>
        </w:rPr>
        <w:t xml:space="preserve">Ref No: </w:t>
      </w:r>
      <w:r>
        <w:rPr>
          <w:sz w:val="22"/>
          <w:szCs w:val="22"/>
        </w:rPr>
        <w:t>_______</w:t>
      </w:r>
    </w:p>
    <w:p>
      <w:pPr>
        <w:pStyle w:val="Normal1"/>
        <w:spacing w:lineRule="auto" w:line="276" w:before="0" w:after="160"/>
        <w:jc w:val="center"/>
        <w:rPr>
          <w:b/>
          <w:b/>
          <w:sz w:val="32"/>
          <w:szCs w:val="32"/>
          <w:u w:val="single"/>
        </w:rPr>
      </w:pPr>
      <w:bookmarkStart w:id="1" w:name="_heading=h.30j0zll"/>
      <w:bookmarkEnd w:id="1"/>
      <w:r>
        <w:rPr>
          <w:b/>
          <w:sz w:val="32"/>
          <w:szCs w:val="32"/>
          <w:u w:val="single"/>
        </w:rPr>
        <w:t>Wakalah Agreement</w:t>
      </w:r>
    </w:p>
    <w:p>
      <w:pPr>
        <w:pStyle w:val="Normal1"/>
        <w:spacing w:lineRule="auto" w:line="276" w:before="0" w:after="160"/>
        <w:jc w:val="both"/>
        <w:rPr/>
      </w:pPr>
      <w:r>
        <w:rPr/>
      </w:r>
    </w:p>
    <w:p>
      <w:pPr>
        <w:pStyle w:val="Normal1"/>
        <w:spacing w:lineRule="auto" w:line="276" w:before="0" w:after="160"/>
        <w:jc w:val="both"/>
        <w:rPr/>
      </w:pPr>
      <w:r>
        <w:rPr/>
        <w:t xml:space="preserve">THIS WAKALAH AGREEMENT is made on the day and year stated in </w:t>
      </w:r>
      <w:r>
        <w:rPr>
          <w:b/>
        </w:rPr>
        <w:t>Section 1 of the Appendix</w:t>
      </w:r>
      <w:r>
        <w:rPr/>
        <w:t>,</w:t>
      </w:r>
    </w:p>
    <w:p>
      <w:pPr>
        <w:pStyle w:val="Normal1"/>
        <w:pBdr/>
        <w:spacing w:lineRule="auto" w:line="276" w:before="0" w:after="160"/>
        <w:jc w:val="both"/>
        <w:rPr/>
      </w:pPr>
      <w:r>
        <w:rPr/>
        <w:t>BETWEEN</w:t>
      </w:r>
    </w:p>
    <w:p>
      <w:pPr>
        <w:pStyle w:val="Normal1"/>
        <w:spacing w:lineRule="auto" w:line="360" w:before="0" w:after="160"/>
        <w:jc w:val="both"/>
        <w:rPr/>
      </w:pPr>
      <w:r>
        <w:rPr/>
        <w:t>Name: ___________________________________________</w:t>
      </w:r>
    </w:p>
    <w:p>
      <w:pPr>
        <w:pStyle w:val="Normal1"/>
        <w:spacing w:lineRule="auto" w:line="360" w:before="0" w:after="160"/>
        <w:jc w:val="both"/>
        <w:rPr/>
      </w:pPr>
      <w:r>
        <w:rPr/>
        <w:t>NRIC/Passport/Reg. No.: _____________________________</w:t>
      </w:r>
    </w:p>
    <w:p>
      <w:pPr>
        <w:pStyle w:val="Normal1"/>
        <w:spacing w:lineRule="auto" w:line="360" w:before="0" w:after="160"/>
        <w:jc w:val="both"/>
        <w:rPr/>
      </w:pPr>
      <w:r>
        <w:rPr/>
        <w:t>Country of Issuance/Incorporation: _____________________</w:t>
      </w:r>
    </w:p>
    <w:p>
      <w:pPr>
        <w:pStyle w:val="Normal1"/>
        <w:pBdr/>
        <w:spacing w:lineRule="auto" w:line="276" w:before="0" w:after="160"/>
        <w:jc w:val="both"/>
        <w:rPr/>
      </w:pPr>
      <w:r>
        <w:rPr/>
        <w:t xml:space="preserve">and includes his/her successors in title, heirs, personal representatives and permitted assigns (hereinafter referred to as the </w:t>
      </w:r>
      <w:r>
        <w:rPr>
          <w:b/>
        </w:rPr>
        <w:t>“Investor”</w:t>
      </w:r>
      <w:r>
        <w:rPr/>
        <w:t xml:space="preserve">) </w:t>
      </w:r>
    </w:p>
    <w:p>
      <w:pPr>
        <w:pStyle w:val="Normal1"/>
        <w:pBdr/>
        <w:spacing w:lineRule="auto" w:line="276" w:before="0" w:after="160"/>
        <w:jc w:val="both"/>
        <w:rPr/>
      </w:pPr>
      <w:r>
        <w:rPr/>
        <w:t>AND</w:t>
      </w:r>
    </w:p>
    <w:p>
      <w:pPr>
        <w:pStyle w:val="Normal1"/>
        <w:spacing w:lineRule="auto" w:line="276" w:before="0" w:after="160"/>
        <w:jc w:val="both"/>
        <w:rPr/>
      </w:pPr>
      <w:r>
        <w:rPr/>
        <w:t xml:space="preserve">PT Sentosa Membangun Bangsa, </w:t>
      </w:r>
    </w:p>
    <w:p>
      <w:pPr>
        <w:pStyle w:val="Normal1"/>
        <w:spacing w:lineRule="auto" w:line="276" w:before="0" w:after="160"/>
        <w:jc w:val="both"/>
        <w:rPr/>
      </w:pPr>
      <w:r>
        <w:rPr/>
        <w:t xml:space="preserve">Rukan Puri Mansion Blok B no 7, Jl. Lingkar Luar Barat Raya, </w:t>
      </w:r>
    </w:p>
    <w:p>
      <w:pPr>
        <w:pStyle w:val="Normal1"/>
        <w:spacing w:lineRule="auto" w:line="276" w:before="0" w:after="160"/>
        <w:jc w:val="both"/>
        <w:rPr/>
      </w:pPr>
      <w:r>
        <w:rPr/>
        <w:t>Kembangan - Jakarta Barat 11610, Indonesia.</w:t>
      </w:r>
    </w:p>
    <w:p>
      <w:pPr>
        <w:pStyle w:val="Normal1"/>
        <w:spacing w:lineRule="auto" w:line="276" w:before="0" w:after="160"/>
        <w:jc w:val="both"/>
        <w:rPr/>
      </w:pPr>
      <w:r>
        <w:rPr/>
        <w:t xml:space="preserve">(hereinafter referred to as the </w:t>
      </w:r>
      <w:r>
        <w:rPr>
          <w:b/>
        </w:rPr>
        <w:t>“Company”</w:t>
      </w:r>
      <w:r>
        <w:rPr/>
        <w:t xml:space="preserve">).  </w:t>
      </w:r>
    </w:p>
    <w:p>
      <w:pPr>
        <w:pStyle w:val="Normal1"/>
        <w:spacing w:lineRule="auto" w:line="276" w:before="0" w:after="160"/>
        <w:jc w:val="both"/>
        <w:rPr/>
      </w:pPr>
      <w:r>
        <w:rPr/>
        <w:t>Each Investor and Company may be referred to in this Agreement individually as a “</w:t>
      </w:r>
      <w:r>
        <w:rPr>
          <w:b/>
        </w:rPr>
        <w:t>Party</w:t>
      </w:r>
      <w:r>
        <w:rPr/>
        <w:t>” and collectively as the “</w:t>
      </w:r>
      <w:r>
        <w:rPr>
          <w:b/>
        </w:rPr>
        <w:t>Parties</w:t>
      </w:r>
      <w:r>
        <w:rPr/>
        <w:t>.”</w:t>
      </w:r>
    </w:p>
    <w:p>
      <w:pPr>
        <w:pStyle w:val="Normal1"/>
        <w:spacing w:lineRule="auto" w:line="276" w:before="0" w:after="160"/>
        <w:jc w:val="both"/>
        <w:rPr/>
      </w:pPr>
      <w:r>
        <w:rPr>
          <w:b/>
        </w:rPr>
        <w:t>WHEREAS</w:t>
      </w:r>
      <w:r>
        <w:rPr/>
        <w:t>, the Investor desires to appoint the Company as its Agent to represent the investor in a Musharakah agreement with the Issuer in the Project, as defined below, under the terms and conditions set forth in this Agreement; and</w:t>
      </w:r>
    </w:p>
    <w:p>
      <w:pPr>
        <w:pStyle w:val="Normal1"/>
        <w:spacing w:lineRule="auto" w:line="276" w:before="0" w:after="160"/>
        <w:jc w:val="both"/>
        <w:rPr/>
      </w:pPr>
      <w:r>
        <w:rPr>
          <w:b/>
        </w:rPr>
        <w:t>WHEREAS</w:t>
      </w:r>
      <w:r>
        <w:rPr/>
        <w:t>, the Company desires to represent the investor in a Musharakah agreement with the Issuer in the Project as defined below, under the terms and conditions set forth in this Agreement.</w:t>
      </w:r>
    </w:p>
    <w:p>
      <w:pPr>
        <w:pStyle w:val="Normal1"/>
        <w:pBdr/>
        <w:spacing w:lineRule="auto" w:line="276" w:before="0" w:after="160"/>
        <w:jc w:val="both"/>
        <w:rPr>
          <w:b/>
          <w:b/>
        </w:rPr>
      </w:pPr>
      <w:r>
        <w:rPr>
          <w:b/>
        </w:rPr>
        <w:t>NOW IT IS HEREBY AGREED as follows:</w:t>
      </w:r>
    </w:p>
    <w:p>
      <w:pPr>
        <w:pStyle w:val="Normal1"/>
        <w:numPr>
          <w:ilvl w:val="0"/>
          <w:numId w:val="6"/>
        </w:numPr>
        <w:pBdr/>
        <w:spacing w:lineRule="auto" w:line="276" w:before="0" w:after="160"/>
        <w:ind w:left="450" w:hanging="450"/>
        <w:jc w:val="both"/>
        <w:rPr>
          <w:b/>
          <w:b/>
        </w:rPr>
      </w:pPr>
      <w:r>
        <w:rPr>
          <w:b/>
        </w:rPr>
        <w:t>DEFINITIONS</w:t>
      </w:r>
    </w:p>
    <w:p>
      <w:pPr>
        <w:pStyle w:val="Normal1"/>
        <w:pBdr/>
        <w:spacing w:lineRule="auto" w:line="276" w:before="0" w:after="160"/>
        <w:jc w:val="both"/>
        <w:rPr>
          <w:b/>
          <w:b/>
        </w:rPr>
      </w:pPr>
      <w:r>
        <w:rPr/>
        <w:t>In this Agreement, the following words and expressions shall save where the context otherwise requires, have the following meanings:</w:t>
      </w:r>
    </w:p>
    <w:tbl>
      <w:tblPr>
        <w:tblStyle w:val="Table1"/>
        <w:tblW w:w="9360" w:type="dxa"/>
        <w:jc w:val="left"/>
        <w:tblInd w:w="105" w:type="dxa"/>
        <w:tblCellMar>
          <w:top w:w="0" w:type="dxa"/>
          <w:left w:w="108" w:type="dxa"/>
          <w:bottom w:w="0" w:type="dxa"/>
          <w:right w:w="108" w:type="dxa"/>
        </w:tblCellMar>
        <w:tblLook w:val="0400"/>
      </w:tblPr>
      <w:tblGrid>
        <w:gridCol w:w="2685"/>
        <w:gridCol w:w="269"/>
        <w:gridCol w:w="6406"/>
      </w:tblGrid>
      <w:tr>
        <w:trPr>
          <w:trHeight w:val="876" w:hRule="atLeast"/>
        </w:trPr>
        <w:tc>
          <w:tcPr>
            <w:tcW w:w="26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76" w:before="0" w:after="0"/>
              <w:jc w:val="both"/>
              <w:rPr/>
            </w:pPr>
            <w:r>
              <w:rPr/>
              <w:t>Commitment Amount</w:t>
            </w:r>
          </w:p>
        </w:tc>
        <w:tc>
          <w:tcPr>
            <w:tcW w:w="2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76" w:before="0" w:after="0"/>
              <w:jc w:val="both"/>
              <w:rPr/>
            </w:pPr>
            <w:r>
              <w:rPr/>
              <w:t>:</w:t>
            </w:r>
          </w:p>
        </w:tc>
        <w:tc>
          <w:tcPr>
            <w:tcW w:w="6406" w:type="dxa"/>
            <w:tcBorders>
              <w:top w:val="single" w:sz="4" w:space="0" w:color="000000"/>
              <w:left w:val="single" w:sz="4" w:space="0" w:color="000000"/>
              <w:bottom w:val="single" w:sz="4" w:space="0" w:color="000000"/>
              <w:right w:val="single" w:sz="4" w:space="0" w:color="000000"/>
            </w:tcBorders>
            <w:shd w:fill="auto" w:val="clear"/>
            <w:tcMar>
              <w:top w:w="144" w:type="dxa"/>
              <w:left w:w="144" w:type="dxa"/>
              <w:bottom w:w="144" w:type="dxa"/>
              <w:right w:w="144" w:type="dxa"/>
            </w:tcMar>
            <w:vAlign w:val="center"/>
          </w:tcPr>
          <w:p>
            <w:pPr>
              <w:pStyle w:val="Normal1"/>
              <w:widowControl w:val="false"/>
              <w:spacing w:lineRule="auto" w:line="276" w:before="0" w:after="0"/>
              <w:jc w:val="both"/>
              <w:rPr/>
            </w:pPr>
            <w:r>
              <w:rPr/>
              <w:t xml:space="preserve">The amount that the Investor has agreed to contribute to the Project as described in </w:t>
            </w:r>
            <w:r>
              <w:rPr>
                <w:b/>
              </w:rPr>
              <w:t>Section 4 of the Appendix</w:t>
            </w:r>
            <w:r>
              <w:rPr/>
              <w:t>;</w:t>
            </w:r>
          </w:p>
        </w:tc>
      </w:tr>
      <w:tr>
        <w:trPr/>
        <w:tc>
          <w:tcPr>
            <w:tcW w:w="26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76" w:before="0" w:after="0"/>
              <w:jc w:val="both"/>
              <w:rPr/>
            </w:pPr>
            <w:r>
              <w:rPr/>
              <w:t xml:space="preserve">Company </w:t>
            </w:r>
          </w:p>
        </w:tc>
        <w:tc>
          <w:tcPr>
            <w:tcW w:w="2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76" w:before="0" w:after="0"/>
              <w:jc w:val="both"/>
              <w:rPr/>
            </w:pPr>
            <w:r>
              <w:rPr/>
            </w:r>
          </w:p>
        </w:tc>
        <w:tc>
          <w:tcPr>
            <w:tcW w:w="6406" w:type="dxa"/>
            <w:tcBorders>
              <w:top w:val="single" w:sz="4" w:space="0" w:color="000000"/>
              <w:left w:val="single" w:sz="4" w:space="0" w:color="000000"/>
              <w:bottom w:val="single" w:sz="4" w:space="0" w:color="000000"/>
              <w:right w:val="single" w:sz="4" w:space="0" w:color="000000"/>
            </w:tcBorders>
            <w:shd w:fill="auto" w:val="clear"/>
            <w:tcMar>
              <w:top w:w="144" w:type="dxa"/>
              <w:left w:w="144" w:type="dxa"/>
              <w:bottom w:w="144" w:type="dxa"/>
              <w:right w:w="144" w:type="dxa"/>
            </w:tcMar>
            <w:vAlign w:val="center"/>
          </w:tcPr>
          <w:p>
            <w:pPr>
              <w:pStyle w:val="Normal1"/>
              <w:widowControl w:val="false"/>
              <w:spacing w:lineRule="auto" w:line="276" w:before="0" w:after="0"/>
              <w:jc w:val="both"/>
              <w:rPr/>
            </w:pPr>
            <w:r>
              <w:rPr/>
              <w:t>PT Sentosa Membangun Bangsa;</w:t>
            </w:r>
          </w:p>
        </w:tc>
      </w:tr>
      <w:tr>
        <w:trPr/>
        <w:tc>
          <w:tcPr>
            <w:tcW w:w="26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76" w:before="0" w:after="0"/>
              <w:jc w:val="both"/>
              <w:rPr/>
            </w:pPr>
            <w:r>
              <w:rPr/>
              <w:t>Issuer</w:t>
            </w:r>
          </w:p>
        </w:tc>
        <w:tc>
          <w:tcPr>
            <w:tcW w:w="2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76" w:before="0" w:after="0"/>
              <w:jc w:val="both"/>
              <w:rPr/>
            </w:pPr>
            <w:r>
              <w:rPr/>
              <w:t>:</w:t>
            </w:r>
          </w:p>
        </w:tc>
        <w:tc>
          <w:tcPr>
            <w:tcW w:w="6406" w:type="dxa"/>
            <w:tcBorders>
              <w:top w:val="single" w:sz="4" w:space="0" w:color="000000"/>
              <w:left w:val="single" w:sz="4" w:space="0" w:color="000000"/>
              <w:bottom w:val="single" w:sz="4" w:space="0" w:color="000000"/>
              <w:right w:val="single" w:sz="4" w:space="0" w:color="000000"/>
            </w:tcBorders>
            <w:shd w:fill="auto" w:val="clear"/>
            <w:tcMar>
              <w:top w:w="144" w:type="dxa"/>
              <w:left w:w="144" w:type="dxa"/>
              <w:bottom w:w="144" w:type="dxa"/>
              <w:right w:w="144" w:type="dxa"/>
            </w:tcMar>
            <w:vAlign w:val="center"/>
          </w:tcPr>
          <w:p>
            <w:pPr>
              <w:pStyle w:val="Normal1"/>
              <w:widowControl w:val="false"/>
              <w:spacing w:lineRule="auto" w:line="276" w:before="0" w:after="0"/>
              <w:jc w:val="both"/>
              <w:rPr>
                <w:color w:val="000000"/>
              </w:rPr>
            </w:pPr>
            <w:r>
              <w:rPr/>
              <w:t>PT Petro Energi Solusi</w:t>
            </w:r>
            <w:r>
              <w:rPr/>
              <w:t xml:space="preserve"> </w:t>
            </w:r>
            <w:r>
              <w:rPr>
                <w:color w:val="000000"/>
              </w:rPr>
              <w:t>(“</w:t>
            </w:r>
            <w:r>
              <w:rPr>
                <w:b/>
              </w:rPr>
              <w:t>Issuer</w:t>
            </w:r>
            <w:r>
              <w:rPr>
                <w:color w:val="000000"/>
              </w:rPr>
              <w:t>”);</w:t>
            </w:r>
          </w:p>
        </w:tc>
      </w:tr>
      <w:tr>
        <w:trPr/>
        <w:tc>
          <w:tcPr>
            <w:tcW w:w="26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76" w:before="0" w:after="0"/>
              <w:jc w:val="both"/>
              <w:rPr/>
            </w:pPr>
            <w:r>
              <w:rPr/>
              <w:t xml:space="preserve">Investor </w:t>
            </w:r>
          </w:p>
        </w:tc>
        <w:tc>
          <w:tcPr>
            <w:tcW w:w="2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76" w:before="0" w:after="0"/>
              <w:jc w:val="both"/>
              <w:rPr/>
            </w:pPr>
            <w:r>
              <w:rPr/>
            </w:r>
          </w:p>
        </w:tc>
        <w:tc>
          <w:tcPr>
            <w:tcW w:w="6406" w:type="dxa"/>
            <w:tcBorders>
              <w:top w:val="single" w:sz="4" w:space="0" w:color="000000"/>
              <w:left w:val="single" w:sz="4" w:space="0" w:color="000000"/>
              <w:bottom w:val="single" w:sz="4" w:space="0" w:color="000000"/>
              <w:right w:val="single" w:sz="4" w:space="0" w:color="000000"/>
            </w:tcBorders>
            <w:shd w:fill="auto" w:val="clear"/>
            <w:tcMar>
              <w:top w:w="144" w:type="dxa"/>
              <w:left w:w="144" w:type="dxa"/>
              <w:bottom w:w="144" w:type="dxa"/>
              <w:right w:w="144" w:type="dxa"/>
            </w:tcMar>
            <w:vAlign w:val="center"/>
          </w:tcPr>
          <w:p>
            <w:pPr>
              <w:pStyle w:val="Normal1"/>
              <w:widowControl w:val="false"/>
              <w:spacing w:lineRule="auto" w:line="276" w:before="0" w:after="0"/>
              <w:jc w:val="both"/>
              <w:rPr/>
            </w:pPr>
            <w:r>
              <w:rPr/>
              <w:t>Unless clearly stated in this Agreement, the word Investor shall refer to each of the investors or all of the investors, as the context may require;</w:t>
            </w:r>
          </w:p>
        </w:tc>
      </w:tr>
      <w:tr>
        <w:trPr/>
        <w:tc>
          <w:tcPr>
            <w:tcW w:w="26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76" w:before="0" w:after="0"/>
              <w:jc w:val="both"/>
              <w:rPr/>
            </w:pPr>
            <w:r>
              <w:rPr/>
              <w:t>Investor Group</w:t>
            </w:r>
          </w:p>
        </w:tc>
        <w:tc>
          <w:tcPr>
            <w:tcW w:w="2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76" w:before="0" w:after="0"/>
              <w:jc w:val="both"/>
              <w:rPr/>
            </w:pPr>
            <w:r>
              <w:rPr/>
              <w:t>:</w:t>
            </w:r>
          </w:p>
        </w:tc>
        <w:tc>
          <w:tcPr>
            <w:tcW w:w="6406" w:type="dxa"/>
            <w:tcBorders>
              <w:top w:val="single" w:sz="4" w:space="0" w:color="000000"/>
              <w:left w:val="single" w:sz="4" w:space="0" w:color="000000"/>
              <w:bottom w:val="single" w:sz="4" w:space="0" w:color="000000"/>
              <w:right w:val="single" w:sz="4" w:space="0" w:color="000000"/>
            </w:tcBorders>
            <w:shd w:fill="auto" w:val="clear"/>
            <w:tcMar>
              <w:top w:w="144" w:type="dxa"/>
              <w:left w:w="144" w:type="dxa"/>
              <w:bottom w:w="144" w:type="dxa"/>
              <w:right w:w="144" w:type="dxa"/>
            </w:tcMar>
            <w:vAlign w:val="center"/>
          </w:tcPr>
          <w:p>
            <w:pPr>
              <w:pStyle w:val="Normal1"/>
              <w:widowControl w:val="false"/>
              <w:spacing w:lineRule="auto" w:line="276" w:before="0" w:after="0"/>
              <w:jc w:val="both"/>
              <w:rPr/>
            </w:pPr>
            <w:r>
              <w:rPr/>
              <w:t>A group of investors (including their respective successors in title and assigns and any successors), who agree to participate in the Project to provide the Commitment Amount based on agreed proportion amounts, and where any references to an “Investor” includes all investors in this group;</w:t>
            </w:r>
          </w:p>
        </w:tc>
      </w:tr>
      <w:tr>
        <w:trPr/>
        <w:tc>
          <w:tcPr>
            <w:tcW w:w="26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76" w:before="0" w:after="0"/>
              <w:jc w:val="both"/>
              <w:rPr/>
            </w:pPr>
            <w:r>
              <w:rPr/>
              <w:t xml:space="preserve">Musharakah </w:t>
            </w:r>
          </w:p>
        </w:tc>
        <w:tc>
          <w:tcPr>
            <w:tcW w:w="2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76" w:before="0" w:after="0"/>
              <w:jc w:val="both"/>
              <w:rPr/>
            </w:pPr>
            <w:r>
              <w:rPr/>
              <w:t>:</w:t>
            </w:r>
          </w:p>
        </w:tc>
        <w:tc>
          <w:tcPr>
            <w:tcW w:w="6406" w:type="dxa"/>
            <w:tcBorders>
              <w:top w:val="single" w:sz="4" w:space="0" w:color="000000"/>
              <w:left w:val="single" w:sz="4" w:space="0" w:color="000000"/>
              <w:bottom w:val="single" w:sz="4" w:space="0" w:color="000000"/>
              <w:right w:val="single" w:sz="4" w:space="0" w:color="000000"/>
            </w:tcBorders>
            <w:shd w:fill="auto" w:val="clear"/>
            <w:tcMar>
              <w:top w:w="144" w:type="dxa"/>
              <w:left w:w="144" w:type="dxa"/>
              <w:bottom w:w="144" w:type="dxa"/>
              <w:right w:w="144" w:type="dxa"/>
            </w:tcMar>
            <w:vAlign w:val="center"/>
          </w:tcPr>
          <w:p>
            <w:pPr>
              <w:pStyle w:val="Normal1"/>
              <w:widowControl w:val="false"/>
              <w:spacing w:lineRule="auto" w:line="276" w:before="0" w:after="0"/>
              <w:jc w:val="both"/>
              <w:rPr/>
            </w:pPr>
            <w:r>
              <w:rPr/>
              <w:t>A shariah-compliant contract, whereby parties will share profit based on a pre-agreed Profit-Sharing Ratio (PSR) and bear loss proportionate to their contribution in the capital of the partnership;</w:t>
            </w:r>
          </w:p>
        </w:tc>
      </w:tr>
      <w:tr>
        <w:trPr/>
        <w:tc>
          <w:tcPr>
            <w:tcW w:w="26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76" w:before="0" w:after="0"/>
              <w:jc w:val="both"/>
              <w:rPr/>
            </w:pPr>
            <w:r>
              <w:rPr/>
              <w:t>Performance Incentive Fees</w:t>
            </w:r>
          </w:p>
        </w:tc>
        <w:tc>
          <w:tcPr>
            <w:tcW w:w="2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76" w:before="0" w:after="0"/>
              <w:jc w:val="both"/>
              <w:rPr/>
            </w:pPr>
            <w:r>
              <w:rPr/>
            </w:r>
          </w:p>
        </w:tc>
        <w:tc>
          <w:tcPr>
            <w:tcW w:w="6406" w:type="dxa"/>
            <w:tcBorders>
              <w:top w:val="single" w:sz="4" w:space="0" w:color="000000"/>
              <w:left w:val="single" w:sz="4" w:space="0" w:color="000000"/>
              <w:bottom w:val="single" w:sz="4" w:space="0" w:color="000000"/>
              <w:right w:val="single" w:sz="4" w:space="0" w:color="000000"/>
            </w:tcBorders>
            <w:shd w:fill="auto" w:val="clear"/>
            <w:tcMar>
              <w:top w:w="144" w:type="dxa"/>
              <w:left w:w="144" w:type="dxa"/>
              <w:bottom w:w="144" w:type="dxa"/>
              <w:right w:w="144" w:type="dxa"/>
            </w:tcMar>
            <w:vAlign w:val="center"/>
          </w:tcPr>
          <w:p>
            <w:pPr>
              <w:pStyle w:val="Normal1"/>
              <w:widowControl w:val="false"/>
              <w:spacing w:lineRule="auto" w:line="276" w:before="0" w:after="0"/>
              <w:jc w:val="both"/>
              <w:rPr>
                <w:color w:val="000000"/>
              </w:rPr>
            </w:pPr>
            <w:r>
              <w:rPr>
                <w:color w:val="000000"/>
              </w:rPr>
              <w:t xml:space="preserve">Fees charged by the Company from the gross Return On Investment for the Investor upon profit </w:t>
            </w:r>
            <w:r>
              <w:rPr/>
              <w:t>realisation</w:t>
            </w:r>
            <w:r>
              <w:rPr>
                <w:color w:val="000000"/>
              </w:rPr>
              <w:t xml:space="preserve"> as described in </w:t>
            </w:r>
            <w:r>
              <w:rPr>
                <w:b/>
                <w:color w:val="000000"/>
              </w:rPr>
              <w:t>Section 5 of the appendix</w:t>
            </w:r>
            <w:r>
              <w:rPr>
                <w:color w:val="000000"/>
              </w:rPr>
              <w:t>;</w:t>
            </w:r>
          </w:p>
        </w:tc>
      </w:tr>
      <w:tr>
        <w:trPr/>
        <w:tc>
          <w:tcPr>
            <w:tcW w:w="26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76" w:before="0" w:after="0"/>
              <w:jc w:val="both"/>
              <w:rPr/>
            </w:pPr>
            <w:r>
              <w:rPr/>
              <w:t>Service Fees</w:t>
            </w:r>
          </w:p>
        </w:tc>
        <w:tc>
          <w:tcPr>
            <w:tcW w:w="2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76" w:before="0" w:after="0"/>
              <w:jc w:val="both"/>
              <w:rPr/>
            </w:pPr>
            <w:r>
              <w:rPr/>
            </w:r>
          </w:p>
        </w:tc>
        <w:tc>
          <w:tcPr>
            <w:tcW w:w="6406" w:type="dxa"/>
            <w:tcBorders>
              <w:top w:val="single" w:sz="4" w:space="0" w:color="000000"/>
              <w:left w:val="single" w:sz="4" w:space="0" w:color="000000"/>
              <w:bottom w:val="single" w:sz="4" w:space="0" w:color="000000"/>
              <w:right w:val="single" w:sz="4" w:space="0" w:color="000000"/>
            </w:tcBorders>
            <w:shd w:fill="auto" w:val="clear"/>
            <w:tcMar>
              <w:top w:w="144" w:type="dxa"/>
              <w:left w:w="144" w:type="dxa"/>
              <w:bottom w:w="144" w:type="dxa"/>
              <w:right w:w="144" w:type="dxa"/>
            </w:tcMar>
            <w:vAlign w:val="center"/>
          </w:tcPr>
          <w:p>
            <w:pPr>
              <w:pStyle w:val="Normal1"/>
              <w:widowControl w:val="false"/>
              <w:spacing w:lineRule="auto" w:line="276" w:before="0" w:after="0"/>
              <w:jc w:val="both"/>
              <w:rPr>
                <w:color w:val="000000"/>
              </w:rPr>
            </w:pPr>
            <w:r>
              <w:rPr>
                <w:color w:val="000000"/>
              </w:rPr>
              <w:t xml:space="preserve">Fees charged by the Company for </w:t>
            </w:r>
            <w:r>
              <w:rPr/>
              <w:t>organising</w:t>
            </w:r>
            <w:r>
              <w:rPr>
                <w:color w:val="000000"/>
              </w:rPr>
              <w:t xml:space="preserve"> the engagement of the Parties as described in </w:t>
            </w:r>
            <w:r>
              <w:rPr>
                <w:b/>
                <w:color w:val="000000"/>
              </w:rPr>
              <w:t>Section 5 of the Appendix</w:t>
            </w:r>
            <w:r>
              <w:rPr>
                <w:color w:val="000000"/>
              </w:rPr>
              <w:t xml:space="preserve">; </w:t>
            </w:r>
          </w:p>
        </w:tc>
      </w:tr>
      <w:tr>
        <w:trPr/>
        <w:tc>
          <w:tcPr>
            <w:tcW w:w="26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76" w:before="0" w:after="0"/>
              <w:jc w:val="both"/>
              <w:rPr/>
            </w:pPr>
            <w:r>
              <w:rPr/>
              <w:t>Project</w:t>
            </w:r>
          </w:p>
        </w:tc>
        <w:tc>
          <w:tcPr>
            <w:tcW w:w="2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76" w:before="0" w:after="0"/>
              <w:jc w:val="both"/>
              <w:rPr/>
            </w:pPr>
            <w:r>
              <w:rPr/>
              <w:t>:</w:t>
            </w:r>
          </w:p>
        </w:tc>
        <w:tc>
          <w:tcPr>
            <w:tcW w:w="6406" w:type="dxa"/>
            <w:tcBorders>
              <w:top w:val="single" w:sz="4" w:space="0" w:color="000000"/>
              <w:left w:val="single" w:sz="4" w:space="0" w:color="000000"/>
              <w:bottom w:val="single" w:sz="4" w:space="0" w:color="000000"/>
              <w:right w:val="single" w:sz="4" w:space="0" w:color="000000"/>
            </w:tcBorders>
            <w:shd w:fill="auto" w:val="clear"/>
            <w:tcMar>
              <w:top w:w="144" w:type="dxa"/>
              <w:left w:w="144" w:type="dxa"/>
              <w:bottom w:w="144" w:type="dxa"/>
              <w:right w:w="144" w:type="dxa"/>
            </w:tcMar>
            <w:vAlign w:val="center"/>
          </w:tcPr>
          <w:p>
            <w:pPr>
              <w:pStyle w:val="Normal1"/>
              <w:widowControl w:val="false"/>
              <w:spacing w:lineRule="auto" w:line="276" w:before="0" w:after="0"/>
              <w:jc w:val="both"/>
              <w:rPr>
                <w:b/>
                <w:b/>
                <w:color w:val="000000"/>
              </w:rPr>
            </w:pPr>
            <w:r>
              <w:rPr/>
              <w:t>A</w:t>
            </w:r>
            <w:r>
              <w:rPr>
                <w:color w:val="000000"/>
              </w:rPr>
              <w:t xml:space="preserve">s described in </w:t>
            </w:r>
            <w:r>
              <w:rPr>
                <w:b/>
                <w:color w:val="000000"/>
              </w:rPr>
              <w:t>Section 2 of the Appendix;</w:t>
            </w:r>
          </w:p>
        </w:tc>
      </w:tr>
      <w:tr>
        <w:trPr/>
        <w:tc>
          <w:tcPr>
            <w:tcW w:w="26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76" w:before="0" w:after="0"/>
              <w:jc w:val="both"/>
              <w:rPr/>
            </w:pPr>
            <w:r>
              <w:rPr/>
              <w:t>Project Milestones</w:t>
            </w:r>
          </w:p>
        </w:tc>
        <w:tc>
          <w:tcPr>
            <w:tcW w:w="2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76" w:before="0" w:after="0"/>
              <w:jc w:val="both"/>
              <w:rPr/>
            </w:pPr>
            <w:r>
              <w:rPr/>
              <w:t>:</w:t>
            </w:r>
          </w:p>
        </w:tc>
        <w:tc>
          <w:tcPr>
            <w:tcW w:w="6406" w:type="dxa"/>
            <w:tcBorders>
              <w:top w:val="single" w:sz="4" w:space="0" w:color="000000"/>
              <w:left w:val="single" w:sz="4" w:space="0" w:color="000000"/>
              <w:bottom w:val="single" w:sz="4" w:space="0" w:color="000000"/>
              <w:right w:val="single" w:sz="4" w:space="0" w:color="000000"/>
            </w:tcBorders>
            <w:shd w:fill="auto" w:val="clear"/>
            <w:tcMar>
              <w:top w:w="144" w:type="dxa"/>
              <w:left w:w="144" w:type="dxa"/>
              <w:bottom w:w="144" w:type="dxa"/>
              <w:right w:w="144" w:type="dxa"/>
            </w:tcMar>
            <w:vAlign w:val="center"/>
          </w:tcPr>
          <w:p>
            <w:pPr>
              <w:pStyle w:val="Normal1"/>
              <w:widowControl w:val="false"/>
              <w:spacing w:lineRule="auto" w:line="276" w:before="0" w:after="0"/>
              <w:jc w:val="both"/>
              <w:rPr/>
            </w:pPr>
            <w:r>
              <w:rPr/>
              <w:t xml:space="preserve">The events in the Project, as identified by the Issuer and described in </w:t>
            </w:r>
            <w:r>
              <w:rPr>
                <w:b/>
              </w:rPr>
              <w:t>Section 7 of the Appendix</w:t>
            </w:r>
            <w:r>
              <w:rPr/>
              <w:t>, which upon successful fulfilment will result in the successful completion of the Project;</w:t>
            </w:r>
          </w:p>
        </w:tc>
      </w:tr>
      <w:tr>
        <w:trPr/>
        <w:tc>
          <w:tcPr>
            <w:tcW w:w="26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76" w:before="0" w:after="0"/>
              <w:jc w:val="both"/>
              <w:rPr/>
            </w:pPr>
            <w:r>
              <w:rPr/>
              <w:t>Project Tenure</w:t>
            </w:r>
          </w:p>
        </w:tc>
        <w:tc>
          <w:tcPr>
            <w:tcW w:w="2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76" w:before="0" w:after="0"/>
              <w:jc w:val="both"/>
              <w:rPr/>
            </w:pPr>
            <w:r>
              <w:rPr/>
              <w:t>:</w:t>
            </w:r>
          </w:p>
        </w:tc>
        <w:tc>
          <w:tcPr>
            <w:tcW w:w="6406" w:type="dxa"/>
            <w:tcBorders>
              <w:top w:val="single" w:sz="4" w:space="0" w:color="000000"/>
              <w:left w:val="single" w:sz="4" w:space="0" w:color="000000"/>
              <w:bottom w:val="single" w:sz="4" w:space="0" w:color="000000"/>
              <w:right w:val="single" w:sz="4" w:space="0" w:color="000000"/>
            </w:tcBorders>
            <w:shd w:fill="auto" w:val="clear"/>
            <w:tcMar>
              <w:top w:w="144" w:type="dxa"/>
              <w:left w:w="144" w:type="dxa"/>
              <w:bottom w:w="144" w:type="dxa"/>
              <w:right w:w="144" w:type="dxa"/>
            </w:tcMar>
            <w:vAlign w:val="center"/>
          </w:tcPr>
          <w:p>
            <w:pPr>
              <w:pStyle w:val="Normal1"/>
              <w:widowControl w:val="false"/>
              <w:spacing w:lineRule="auto" w:line="276" w:before="0" w:after="0"/>
              <w:jc w:val="both"/>
              <w:rPr/>
            </w:pPr>
            <w:r>
              <w:rPr/>
              <w:t xml:space="preserve">The total tenure of the Project as described in </w:t>
            </w:r>
            <w:r>
              <w:rPr>
                <w:b/>
              </w:rPr>
              <w:t>Section 8 of the Appendix</w:t>
            </w:r>
            <w:r>
              <w:rPr/>
              <w:t>, commencing from the date of the first disbursement of the Commitment Amount to the Issuer. The Investor will be notified by email about the date of commencement.</w:t>
            </w:r>
          </w:p>
        </w:tc>
      </w:tr>
      <w:tr>
        <w:trPr/>
        <w:tc>
          <w:tcPr>
            <w:tcW w:w="26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76" w:before="0" w:after="0"/>
              <w:jc w:val="both"/>
              <w:rPr/>
            </w:pPr>
            <w:r>
              <w:rPr/>
              <w:t>Projected Gross Return</w:t>
            </w:r>
          </w:p>
        </w:tc>
        <w:tc>
          <w:tcPr>
            <w:tcW w:w="2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76" w:before="0" w:after="0"/>
              <w:jc w:val="both"/>
              <w:rPr/>
            </w:pPr>
            <w:r>
              <w:rPr/>
              <w:t>:</w:t>
            </w:r>
          </w:p>
        </w:tc>
        <w:tc>
          <w:tcPr>
            <w:tcW w:w="6406" w:type="dxa"/>
            <w:tcBorders>
              <w:top w:val="single" w:sz="4" w:space="0" w:color="000000"/>
              <w:left w:val="single" w:sz="4" w:space="0" w:color="000000"/>
              <w:bottom w:val="single" w:sz="4" w:space="0" w:color="000000"/>
              <w:right w:val="single" w:sz="4" w:space="0" w:color="000000"/>
            </w:tcBorders>
            <w:shd w:fill="auto" w:val="clear"/>
            <w:tcMar>
              <w:top w:w="144" w:type="dxa"/>
              <w:left w:w="144" w:type="dxa"/>
              <w:bottom w:w="144" w:type="dxa"/>
              <w:right w:w="144" w:type="dxa"/>
            </w:tcMar>
            <w:vAlign w:val="center"/>
          </w:tcPr>
          <w:p>
            <w:pPr>
              <w:pStyle w:val="Normal1"/>
              <w:widowControl w:val="false"/>
              <w:spacing w:lineRule="auto" w:line="276" w:before="0" w:after="0"/>
              <w:jc w:val="both"/>
              <w:rPr/>
            </w:pPr>
            <w:r>
              <w:rPr/>
              <w:t xml:space="preserve">The total gross return projected on the Commitment Amount as described in </w:t>
            </w:r>
            <w:r>
              <w:rPr>
                <w:b/>
              </w:rPr>
              <w:t>Section 5 of the Appendix;</w:t>
            </w:r>
          </w:p>
        </w:tc>
      </w:tr>
      <w:tr>
        <w:trPr/>
        <w:tc>
          <w:tcPr>
            <w:tcW w:w="26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76" w:before="0" w:after="0"/>
              <w:jc w:val="both"/>
              <w:rPr/>
            </w:pPr>
            <w:r>
              <w:rPr/>
              <w:t>SGD</w:t>
            </w:r>
          </w:p>
        </w:tc>
        <w:tc>
          <w:tcPr>
            <w:tcW w:w="2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76" w:before="0" w:after="0"/>
              <w:jc w:val="both"/>
              <w:rPr/>
            </w:pPr>
            <w:r>
              <w:rPr/>
              <w:t>:</w:t>
            </w:r>
          </w:p>
        </w:tc>
        <w:tc>
          <w:tcPr>
            <w:tcW w:w="6406" w:type="dxa"/>
            <w:tcBorders>
              <w:top w:val="single" w:sz="4" w:space="0" w:color="000000"/>
              <w:left w:val="single" w:sz="4" w:space="0" w:color="000000"/>
              <w:bottom w:val="single" w:sz="4" w:space="0" w:color="000000"/>
              <w:right w:val="single" w:sz="4" w:space="0" w:color="000000"/>
            </w:tcBorders>
            <w:shd w:fill="auto" w:val="clear"/>
            <w:tcMar>
              <w:top w:w="144" w:type="dxa"/>
              <w:left w:w="144" w:type="dxa"/>
              <w:bottom w:w="144" w:type="dxa"/>
              <w:right w:w="144" w:type="dxa"/>
            </w:tcMar>
            <w:vAlign w:val="center"/>
          </w:tcPr>
          <w:p>
            <w:pPr>
              <w:pStyle w:val="Normal1"/>
              <w:widowControl w:val="false"/>
              <w:spacing w:lineRule="auto" w:line="276" w:before="0" w:after="0"/>
              <w:jc w:val="both"/>
              <w:rPr/>
            </w:pPr>
            <w:r>
              <w:rPr/>
              <w:t>Singapore Dollar;</w:t>
            </w:r>
          </w:p>
        </w:tc>
      </w:tr>
      <w:tr>
        <w:trPr/>
        <w:tc>
          <w:tcPr>
            <w:tcW w:w="26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76" w:before="0" w:after="0"/>
              <w:jc w:val="both"/>
              <w:rPr/>
            </w:pPr>
            <w:r>
              <w:rPr/>
              <w:t>IDR</w:t>
            </w:r>
          </w:p>
        </w:tc>
        <w:tc>
          <w:tcPr>
            <w:tcW w:w="2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76" w:before="0" w:after="0"/>
              <w:jc w:val="both"/>
              <w:rPr/>
            </w:pPr>
            <w:r>
              <w:rPr/>
              <w:t>:</w:t>
            </w:r>
          </w:p>
        </w:tc>
        <w:tc>
          <w:tcPr>
            <w:tcW w:w="6406" w:type="dxa"/>
            <w:tcBorders>
              <w:top w:val="single" w:sz="4" w:space="0" w:color="000000"/>
              <w:left w:val="single" w:sz="4" w:space="0" w:color="000000"/>
              <w:bottom w:val="single" w:sz="4" w:space="0" w:color="000000"/>
              <w:right w:val="single" w:sz="4" w:space="0" w:color="000000"/>
            </w:tcBorders>
            <w:shd w:fill="auto" w:val="clear"/>
            <w:tcMar>
              <w:top w:w="144" w:type="dxa"/>
              <w:left w:w="144" w:type="dxa"/>
              <w:bottom w:w="144" w:type="dxa"/>
              <w:right w:w="144" w:type="dxa"/>
            </w:tcMar>
            <w:vAlign w:val="center"/>
          </w:tcPr>
          <w:p>
            <w:pPr>
              <w:pStyle w:val="Normal1"/>
              <w:widowControl w:val="false"/>
              <w:spacing w:lineRule="auto" w:line="276" w:before="0" w:after="0"/>
              <w:jc w:val="both"/>
              <w:rPr/>
            </w:pPr>
            <w:r>
              <w:rPr/>
              <w:t>Indonesian Rupiah;</w:t>
            </w:r>
          </w:p>
        </w:tc>
      </w:tr>
      <w:tr>
        <w:trPr/>
        <w:tc>
          <w:tcPr>
            <w:tcW w:w="26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76" w:before="0" w:after="0"/>
              <w:jc w:val="both"/>
              <w:rPr/>
            </w:pPr>
            <w:r>
              <w:rPr/>
              <w:t>Shariah-compliant</w:t>
            </w:r>
          </w:p>
        </w:tc>
        <w:tc>
          <w:tcPr>
            <w:tcW w:w="2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76" w:before="0" w:after="0"/>
              <w:jc w:val="both"/>
              <w:rPr/>
            </w:pPr>
            <w:r>
              <w:rPr/>
              <w:t>:</w:t>
            </w:r>
          </w:p>
        </w:tc>
        <w:tc>
          <w:tcPr>
            <w:tcW w:w="6406" w:type="dxa"/>
            <w:tcBorders>
              <w:top w:val="single" w:sz="4" w:space="0" w:color="000000"/>
              <w:left w:val="single" w:sz="4" w:space="0" w:color="000000"/>
              <w:bottom w:val="single" w:sz="4" w:space="0" w:color="000000"/>
              <w:right w:val="single" w:sz="4" w:space="0" w:color="000000"/>
            </w:tcBorders>
            <w:shd w:fill="auto" w:val="clear"/>
            <w:tcMar>
              <w:top w:w="144" w:type="dxa"/>
              <w:left w:w="144" w:type="dxa"/>
              <w:bottom w:w="144" w:type="dxa"/>
              <w:right w:w="144" w:type="dxa"/>
            </w:tcMar>
            <w:vAlign w:val="center"/>
          </w:tcPr>
          <w:p>
            <w:pPr>
              <w:pStyle w:val="Normal1"/>
              <w:widowControl w:val="false"/>
              <w:spacing w:lineRule="auto" w:line="276" w:before="0" w:after="0"/>
              <w:jc w:val="both"/>
              <w:rPr/>
            </w:pPr>
            <w:r>
              <w:rPr/>
              <w:t>Adhering to the principles of Islamic Jurisprudence for financial transactions, specifically the Shariah Standards issued by Bahrain based Accounting and Auditing Organisation for Islamic Financial Institutions (AAOIFI);</w:t>
            </w:r>
          </w:p>
        </w:tc>
      </w:tr>
      <w:tr>
        <w:trPr/>
        <w:tc>
          <w:tcPr>
            <w:tcW w:w="26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76" w:before="0" w:after="0"/>
              <w:jc w:val="both"/>
              <w:rPr/>
            </w:pPr>
            <w:r>
              <w:rPr/>
              <w:t>Wakalah</w:t>
            </w:r>
          </w:p>
        </w:tc>
        <w:tc>
          <w:tcPr>
            <w:tcW w:w="2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76" w:before="0" w:after="0"/>
              <w:jc w:val="both"/>
              <w:rPr/>
            </w:pPr>
            <w:r>
              <w:rPr/>
              <w:t>:</w:t>
            </w:r>
          </w:p>
        </w:tc>
        <w:tc>
          <w:tcPr>
            <w:tcW w:w="6406" w:type="dxa"/>
            <w:tcBorders>
              <w:top w:val="single" w:sz="4" w:space="0" w:color="000000"/>
              <w:left w:val="single" w:sz="4" w:space="0" w:color="000000"/>
              <w:bottom w:val="single" w:sz="4" w:space="0" w:color="000000"/>
              <w:right w:val="single" w:sz="4" w:space="0" w:color="000000"/>
            </w:tcBorders>
            <w:shd w:fill="auto" w:val="clear"/>
            <w:tcMar>
              <w:top w:w="144" w:type="dxa"/>
              <w:left w:w="144" w:type="dxa"/>
              <w:bottom w:w="144" w:type="dxa"/>
              <w:right w:w="144" w:type="dxa"/>
            </w:tcMar>
            <w:vAlign w:val="center"/>
          </w:tcPr>
          <w:p>
            <w:pPr>
              <w:pStyle w:val="Normal1"/>
              <w:widowControl w:val="false"/>
              <w:spacing w:lineRule="auto" w:line="276" w:before="0" w:after="0"/>
              <w:jc w:val="both"/>
              <w:rPr/>
            </w:pPr>
            <w:r>
              <w:rPr/>
              <w:t>A Shariah-compliant agency agreement through which an agent is appointed by a principal to carry specific tasks with or without fees;</w:t>
            </w:r>
          </w:p>
        </w:tc>
      </w:tr>
    </w:tbl>
    <w:p>
      <w:pPr>
        <w:pStyle w:val="Normal1"/>
        <w:pBdr/>
        <w:spacing w:lineRule="auto" w:line="276" w:before="0" w:after="160"/>
        <w:jc w:val="both"/>
        <w:rPr/>
      </w:pPr>
      <w:r>
        <w:rPr/>
      </w:r>
    </w:p>
    <w:p>
      <w:pPr>
        <w:pStyle w:val="Normal1"/>
        <w:numPr>
          <w:ilvl w:val="0"/>
          <w:numId w:val="1"/>
        </w:numPr>
        <w:pBdr/>
        <w:spacing w:lineRule="auto" w:line="276" w:before="0" w:after="160"/>
        <w:ind w:left="630" w:hanging="450"/>
        <w:jc w:val="both"/>
        <w:rPr>
          <w:b/>
          <w:b/>
        </w:rPr>
      </w:pPr>
      <w:r>
        <w:rPr>
          <w:b/>
        </w:rPr>
        <w:t>THE WAKALAH</w:t>
      </w:r>
    </w:p>
    <w:p>
      <w:pPr>
        <w:pStyle w:val="Normal1"/>
        <w:numPr>
          <w:ilvl w:val="1"/>
          <w:numId w:val="1"/>
        </w:numPr>
        <w:spacing w:lineRule="auto" w:line="276" w:before="0" w:after="160"/>
        <w:ind w:left="630" w:hanging="270"/>
        <w:jc w:val="both"/>
        <w:rPr/>
      </w:pPr>
      <w:r>
        <w:rPr/>
        <w:t>Under the Shariah principle of Wakalah, the Investor hereby irrevocably and unconditionally appoints the Company as its agent and the Company hereby accepts this appointment to represent the Investor in a Musharakah agreement with the Issuer in the Project via this Agreement, for the purpose of investing in the Project.</w:t>
      </w:r>
    </w:p>
    <w:p>
      <w:pPr>
        <w:pStyle w:val="Normal1"/>
        <w:numPr>
          <w:ilvl w:val="1"/>
          <w:numId w:val="1"/>
        </w:numPr>
        <w:spacing w:lineRule="auto" w:line="276" w:before="0" w:after="160"/>
        <w:ind w:left="630" w:hanging="270"/>
        <w:jc w:val="both"/>
        <w:rPr/>
      </w:pPr>
      <w:r>
        <w:rPr/>
        <w:t>The Company shall exercise due diligence to the best of its expertise, knowledge and skills to ensure that all the transactions in the Musharakah are Shariah-compliant.</w:t>
      </w:r>
    </w:p>
    <w:p>
      <w:pPr>
        <w:pStyle w:val="Normal1"/>
        <w:numPr>
          <w:ilvl w:val="1"/>
          <w:numId w:val="1"/>
        </w:numPr>
        <w:spacing w:lineRule="auto" w:line="276" w:before="0" w:after="160"/>
        <w:ind w:left="630" w:hanging="270"/>
        <w:jc w:val="both"/>
        <w:rPr/>
      </w:pPr>
      <w:r>
        <w:rPr/>
        <w:t xml:space="preserve">The Commitment Amount by the Investor Group is as described in </w:t>
      </w:r>
      <w:r>
        <w:rPr>
          <w:b/>
        </w:rPr>
        <w:t>Section 4 of the Appendix.</w:t>
      </w:r>
    </w:p>
    <w:p>
      <w:pPr>
        <w:pStyle w:val="Normal1"/>
        <w:numPr>
          <w:ilvl w:val="1"/>
          <w:numId w:val="1"/>
        </w:numPr>
        <w:spacing w:lineRule="auto" w:line="276" w:before="0" w:after="160"/>
        <w:ind w:left="630" w:hanging="270"/>
        <w:jc w:val="both"/>
        <w:rPr/>
      </w:pPr>
      <w:bookmarkStart w:id="2" w:name="_heading=h.tyjcwt"/>
      <w:bookmarkEnd w:id="2"/>
      <w:r>
        <w:rPr/>
        <w:t xml:space="preserve">The fixed Wakalah fee of the Company is as described in </w:t>
      </w:r>
      <w:r>
        <w:rPr>
          <w:b/>
        </w:rPr>
        <w:t xml:space="preserve">Section 5 of the Appendix. </w:t>
      </w:r>
    </w:p>
    <w:p>
      <w:pPr>
        <w:pStyle w:val="Normal1"/>
        <w:numPr>
          <w:ilvl w:val="1"/>
          <w:numId w:val="1"/>
        </w:numPr>
        <w:spacing w:lineRule="auto" w:line="276" w:before="0" w:after="160"/>
        <w:ind w:left="630" w:hanging="270"/>
        <w:jc w:val="both"/>
        <w:rPr/>
      </w:pPr>
      <w:bookmarkStart w:id="3" w:name="_heading=h.8hw4qle1zxwn"/>
      <w:bookmarkEnd w:id="3"/>
      <w:r>
        <w:rPr/>
        <w:t xml:space="preserve">The Company charges service fees for facilitating the Musharakah agreement between the Investor and the Issuer, as described in </w:t>
      </w:r>
      <w:r>
        <w:rPr>
          <w:b/>
        </w:rPr>
        <w:t xml:space="preserve">Section 5 of the Appendix. </w:t>
      </w:r>
      <w:r>
        <w:rPr/>
        <w:t>The service fees will be charged upfront and will be considered as a cost for the Project, which will not reduce the capital contribution of the Investor Group in the Project.</w:t>
      </w:r>
    </w:p>
    <w:p>
      <w:pPr>
        <w:pStyle w:val="Normal1"/>
        <w:numPr>
          <w:ilvl w:val="1"/>
          <w:numId w:val="1"/>
        </w:numPr>
        <w:pBdr/>
        <w:spacing w:lineRule="auto" w:line="276" w:before="0" w:after="160"/>
        <w:ind w:left="630" w:hanging="270"/>
        <w:jc w:val="both"/>
        <w:rPr/>
      </w:pPr>
      <w:r>
        <w:rPr/>
        <w:t xml:space="preserve">A performance incentive fee from the Projected Gross Return (if any) on Commitment Amount will be charged by the Company as described in </w:t>
      </w:r>
      <w:r>
        <w:rPr>
          <w:b/>
        </w:rPr>
        <w:t xml:space="preserve">Section 5 of the Appendix. </w:t>
      </w:r>
      <w:r>
        <w:rPr/>
        <w:t xml:space="preserve">In the event that no returns are realised, the Company will not charge any incentive fee. </w:t>
      </w:r>
    </w:p>
    <w:p>
      <w:pPr>
        <w:pStyle w:val="Normal1"/>
        <w:numPr>
          <w:ilvl w:val="1"/>
          <w:numId w:val="1"/>
        </w:numPr>
        <w:pBdr/>
        <w:spacing w:lineRule="auto" w:line="276" w:before="0" w:after="160"/>
        <w:ind w:left="630" w:hanging="270"/>
        <w:jc w:val="both"/>
        <w:rPr/>
      </w:pPr>
      <w:r>
        <w:rPr/>
        <w:t>The Issuer promises to forego a portion of the Issuer’s own profits realised from the project to grant Investors the higher projected return. However, this will only apply if:</w:t>
      </w:r>
    </w:p>
    <w:p>
      <w:pPr>
        <w:pStyle w:val="Normal1"/>
        <w:numPr>
          <w:ilvl w:val="2"/>
          <w:numId w:val="1"/>
        </w:numPr>
        <w:pBdr/>
        <w:spacing w:lineRule="auto" w:line="276" w:before="0" w:after="160"/>
        <w:ind w:left="2160" w:hanging="360"/>
        <w:jc w:val="both"/>
        <w:rPr/>
      </w:pPr>
      <w:r>
        <w:rPr/>
        <w:t>The project makes a profit; and</w:t>
      </w:r>
    </w:p>
    <w:p>
      <w:pPr>
        <w:pStyle w:val="Normal1"/>
        <w:numPr>
          <w:ilvl w:val="2"/>
          <w:numId w:val="1"/>
        </w:numPr>
        <w:pBdr/>
        <w:spacing w:lineRule="auto" w:line="276" w:before="0" w:after="160"/>
        <w:ind w:left="2160" w:hanging="360"/>
        <w:jc w:val="both"/>
        <w:rPr/>
      </w:pPr>
      <w:r>
        <w:rPr/>
        <w:t>The Issuer is not deprived of all profits as a result of this arrangement.</w:t>
      </w:r>
    </w:p>
    <w:p>
      <w:pPr>
        <w:pStyle w:val="Normal1"/>
        <w:numPr>
          <w:ilvl w:val="1"/>
          <w:numId w:val="1"/>
        </w:numPr>
        <w:pBdr/>
        <w:spacing w:lineRule="auto" w:line="276" w:before="0" w:after="160"/>
        <w:ind w:left="630" w:hanging="270"/>
        <w:jc w:val="both"/>
        <w:rPr/>
      </w:pPr>
      <w:r>
        <w:rPr/>
        <w:t xml:space="preserve">The Investor agrees to contribute to capital as described in </w:t>
      </w:r>
      <w:r>
        <w:rPr>
          <w:b/>
        </w:rPr>
        <w:t>Section 9 of the Appendix</w:t>
      </w:r>
      <w:r>
        <w:rPr/>
        <w:t>.</w:t>
      </w:r>
    </w:p>
    <w:p>
      <w:pPr>
        <w:pStyle w:val="Normal1"/>
        <w:numPr>
          <w:ilvl w:val="2"/>
          <w:numId w:val="1"/>
        </w:numPr>
        <w:pBdr/>
        <w:spacing w:lineRule="auto" w:line="276" w:before="0" w:after="160"/>
        <w:ind w:left="2160" w:hanging="360"/>
        <w:jc w:val="both"/>
        <w:rPr/>
      </w:pPr>
      <w:r>
        <w:rPr/>
        <w:t>In the case of loss, the Investor Group and the Issuer will bear loss proportionately to the capital contribution of each Party.</w:t>
      </w:r>
    </w:p>
    <w:p>
      <w:pPr>
        <w:pStyle w:val="Normal1"/>
        <w:numPr>
          <w:ilvl w:val="3"/>
          <w:numId w:val="1"/>
        </w:numPr>
        <w:pBdr/>
        <w:spacing w:lineRule="auto" w:line="276" w:before="0" w:after="160"/>
        <w:ind w:left="2880" w:hanging="360"/>
        <w:jc w:val="both"/>
        <w:rPr/>
      </w:pPr>
      <w:r>
        <w:rPr/>
        <w:t>Notwithstanding the above, the Issuer is liable for any loss attributed to negligence, misconduct or breach of contractual terms.</w:t>
      </w:r>
    </w:p>
    <w:p>
      <w:pPr>
        <w:pStyle w:val="Normal1"/>
        <w:numPr>
          <w:ilvl w:val="2"/>
          <w:numId w:val="1"/>
        </w:numPr>
        <w:pBdr/>
        <w:spacing w:lineRule="auto" w:line="276" w:before="0" w:after="160"/>
        <w:ind w:left="2160" w:hanging="360"/>
        <w:jc w:val="both"/>
        <w:rPr/>
      </w:pPr>
      <w:r>
        <w:rPr/>
        <w:t xml:space="preserve">The profit will be shared between the Investor Group and the Issuer based on the Profit Sharing Ratio (PSR) as described in </w:t>
      </w:r>
      <w:r>
        <w:rPr>
          <w:b/>
        </w:rPr>
        <w:t>Section 10 of the Appendix.</w:t>
      </w:r>
    </w:p>
    <w:p>
      <w:pPr>
        <w:pStyle w:val="Normal1"/>
        <w:numPr>
          <w:ilvl w:val="0"/>
          <w:numId w:val="1"/>
        </w:numPr>
        <w:pBdr/>
        <w:spacing w:lineRule="auto" w:line="276" w:before="0" w:after="160"/>
        <w:ind w:left="630" w:hanging="450"/>
        <w:jc w:val="both"/>
        <w:rPr>
          <w:b/>
          <w:b/>
        </w:rPr>
      </w:pPr>
      <w:r>
        <w:rPr>
          <w:b/>
        </w:rPr>
        <w:t>RIGHTS AND RESPONSIBILITIES</w:t>
      </w:r>
    </w:p>
    <w:p>
      <w:pPr>
        <w:pStyle w:val="Normal1"/>
        <w:numPr>
          <w:ilvl w:val="1"/>
          <w:numId w:val="1"/>
        </w:numPr>
        <w:pBdr/>
        <w:spacing w:lineRule="auto" w:line="276" w:before="0" w:after="160"/>
        <w:ind w:left="630" w:hanging="270"/>
        <w:jc w:val="both"/>
        <w:rPr/>
      </w:pPr>
      <w:r>
        <w:rPr/>
        <w:t>The responsibilities of the Company are as follows:</w:t>
      </w:r>
    </w:p>
    <w:p>
      <w:pPr>
        <w:pStyle w:val="Normal1"/>
        <w:numPr>
          <w:ilvl w:val="2"/>
          <w:numId w:val="1"/>
        </w:numPr>
        <w:pBdr/>
        <w:spacing w:lineRule="auto" w:line="276" w:before="0" w:after="160"/>
        <w:ind w:left="1530" w:hanging="270"/>
        <w:jc w:val="both"/>
        <w:rPr/>
      </w:pPr>
      <w:r>
        <w:rPr/>
        <w:t>To do and execute all acts with respect to executing the Musharakah Agreement  and to negotiate with the Issuer on behalf of the Investor in relation thereto, in line with the clauses mentioned in this Wakalah Agreement;</w:t>
      </w:r>
    </w:p>
    <w:p>
      <w:pPr>
        <w:pStyle w:val="Normal1"/>
        <w:numPr>
          <w:ilvl w:val="2"/>
          <w:numId w:val="1"/>
        </w:numPr>
        <w:pBdr/>
        <w:spacing w:lineRule="auto" w:line="276" w:before="0" w:after="160"/>
        <w:ind w:left="1530" w:hanging="270"/>
        <w:jc w:val="both"/>
        <w:rPr/>
      </w:pPr>
      <w:r>
        <w:rPr/>
        <w:t>To receive the capital and profit (if any) upon maturity of the Project from the Issuer;</w:t>
      </w:r>
    </w:p>
    <w:p>
      <w:pPr>
        <w:pStyle w:val="Normal1"/>
        <w:numPr>
          <w:ilvl w:val="2"/>
          <w:numId w:val="1"/>
        </w:numPr>
        <w:pBdr/>
        <w:spacing w:lineRule="auto" w:line="276" w:before="0" w:after="160"/>
        <w:ind w:left="1530" w:hanging="270"/>
        <w:jc w:val="both"/>
        <w:rPr/>
      </w:pPr>
      <w:r>
        <w:rPr/>
        <w:t>To disburse the capital and profit (if any) received from the Issuer to the Investor;</w:t>
      </w:r>
    </w:p>
    <w:p>
      <w:pPr>
        <w:pStyle w:val="Normal1"/>
        <w:numPr>
          <w:ilvl w:val="2"/>
          <w:numId w:val="1"/>
        </w:numPr>
        <w:pBdr/>
        <w:spacing w:lineRule="auto" w:line="276" w:before="0" w:after="160"/>
        <w:ind w:left="1530" w:hanging="270"/>
        <w:jc w:val="both"/>
        <w:rPr/>
      </w:pPr>
      <w:r>
        <w:rPr/>
        <w:t>To negotiate in good faith and in the best interests of the Investor Group, in a situation where the planned negotiations related to this Project do not meet expectations of returns or the Project Tenure.</w:t>
      </w:r>
    </w:p>
    <w:p>
      <w:pPr>
        <w:pStyle w:val="Normal1"/>
        <w:numPr>
          <w:ilvl w:val="2"/>
          <w:numId w:val="1"/>
        </w:numPr>
        <w:pBdr/>
        <w:spacing w:lineRule="auto" w:line="276" w:before="0" w:after="160"/>
        <w:ind w:left="1530" w:hanging="270"/>
        <w:jc w:val="both"/>
        <w:rPr/>
      </w:pPr>
      <w:r>
        <w:rPr/>
        <w:t xml:space="preserve">To monitor the Project and provide periodic reports, upon the request of the Investor, on the progress in relation to the Project Milestones as defined in </w:t>
      </w:r>
      <w:r>
        <w:rPr>
          <w:b/>
        </w:rPr>
        <w:t>Section 7 of the Appendix</w:t>
      </w:r>
      <w:r>
        <w:rPr/>
        <w:t>, based on information provided to the Company by the Issuer.</w:t>
      </w:r>
    </w:p>
    <w:p>
      <w:pPr>
        <w:pStyle w:val="Normal1"/>
        <w:numPr>
          <w:ilvl w:val="2"/>
          <w:numId w:val="1"/>
        </w:numPr>
        <w:pBdr/>
        <w:spacing w:lineRule="auto" w:line="276" w:before="0" w:after="160"/>
        <w:ind w:left="1530" w:hanging="270"/>
        <w:jc w:val="both"/>
        <w:rPr/>
      </w:pPr>
      <w:r>
        <w:rPr/>
        <w:t>To facilitate and process contracts with the Investor Group and provide other services related to managing the investment process and attending to the investor needs.</w:t>
      </w:r>
    </w:p>
    <w:p>
      <w:pPr>
        <w:pStyle w:val="Normal1"/>
        <w:numPr>
          <w:ilvl w:val="1"/>
          <w:numId w:val="1"/>
        </w:numPr>
        <w:pBdr/>
        <w:spacing w:lineRule="auto" w:line="276" w:before="0" w:after="160"/>
        <w:ind w:left="630" w:hanging="270"/>
        <w:jc w:val="both"/>
        <w:rPr/>
      </w:pPr>
      <w:r>
        <w:rPr/>
        <w:t xml:space="preserve">The Company shall not be obliged to extend services except for the responsibilities specified above. As such, the Company will not be liable for any loss of capital or profit in any circumstances, including in the event the project delays or fails. </w:t>
      </w:r>
    </w:p>
    <w:p>
      <w:pPr>
        <w:pStyle w:val="Normal1"/>
        <w:numPr>
          <w:ilvl w:val="1"/>
          <w:numId w:val="1"/>
        </w:numPr>
        <w:pBdr/>
        <w:spacing w:lineRule="auto" w:line="276" w:before="0" w:after="160"/>
        <w:ind w:left="630" w:hanging="270"/>
        <w:jc w:val="both"/>
        <w:rPr/>
      </w:pPr>
      <w:r>
        <w:rPr/>
        <w:t>The Investor shall not be obliged to agree to any request from the Company if the Investor believes that the request is in contravention of any law, policy, rules or regulations.</w:t>
      </w:r>
    </w:p>
    <w:p>
      <w:pPr>
        <w:pStyle w:val="Normal1"/>
        <w:numPr>
          <w:ilvl w:val="1"/>
          <w:numId w:val="1"/>
        </w:numPr>
        <w:pBdr/>
        <w:spacing w:lineRule="auto" w:line="276" w:before="0" w:after="160"/>
        <w:ind w:left="630" w:hanging="270"/>
        <w:jc w:val="both"/>
        <w:rPr/>
      </w:pPr>
      <w:r>
        <w:rPr/>
        <w:t>Except for the specific purposes of this appointment and as expressed in the Agreement, this appointment shall not create or be deemed to create any other form of partnership or joint venture between the Investor and the Company.</w:t>
      </w:r>
    </w:p>
    <w:p>
      <w:pPr>
        <w:pStyle w:val="Normal1"/>
        <w:numPr>
          <w:ilvl w:val="1"/>
          <w:numId w:val="1"/>
        </w:numPr>
        <w:pBdr/>
        <w:spacing w:lineRule="auto" w:line="276" w:before="0" w:after="160"/>
        <w:ind w:left="630" w:hanging="270"/>
        <w:jc w:val="both"/>
        <w:rPr/>
      </w:pPr>
      <w:r>
        <w:rPr/>
        <w:t>No failure to exercise, nor any delay in exercising, on the part of the Company, any right or remedy under the Agreement shall operate as a waiver, nor shall any single or partial exercise of any right or remedy prevent any further or other exercise or the exercise of any other right or remedy. The rights and remedies under the Agreement are cumulative and not exclusive of any rights or remedies provided by law.</w:t>
      </w:r>
    </w:p>
    <w:p>
      <w:pPr>
        <w:pStyle w:val="Normal1"/>
        <w:numPr>
          <w:ilvl w:val="0"/>
          <w:numId w:val="1"/>
        </w:numPr>
        <w:pBdr/>
        <w:spacing w:lineRule="auto" w:line="276" w:before="0" w:after="160"/>
        <w:ind w:left="630" w:hanging="450"/>
        <w:jc w:val="both"/>
        <w:rPr>
          <w:b/>
          <w:b/>
        </w:rPr>
      </w:pPr>
      <w:r>
        <w:rPr>
          <w:b/>
        </w:rPr>
        <w:t>REPRESENTATIONS AND WARRANTIES</w:t>
      </w:r>
    </w:p>
    <w:p>
      <w:pPr>
        <w:pStyle w:val="Normal1"/>
        <w:numPr>
          <w:ilvl w:val="1"/>
          <w:numId w:val="1"/>
        </w:numPr>
        <w:pBdr/>
        <w:spacing w:lineRule="auto" w:line="276" w:before="0" w:after="160"/>
        <w:ind w:left="630" w:hanging="270"/>
        <w:jc w:val="both"/>
        <w:rPr/>
      </w:pPr>
      <w:r>
        <w:rPr/>
        <w:t>The Parties represent and warrant to each of the other parties to this Agreement that:</w:t>
      </w:r>
    </w:p>
    <w:p>
      <w:pPr>
        <w:pStyle w:val="Normal1"/>
        <w:numPr>
          <w:ilvl w:val="2"/>
          <w:numId w:val="1"/>
        </w:numPr>
        <w:pBdr/>
        <w:spacing w:lineRule="auto" w:line="276" w:before="0" w:after="160"/>
        <w:ind w:left="1530" w:hanging="270"/>
        <w:jc w:val="both"/>
        <w:rPr/>
      </w:pPr>
      <w:r>
        <w:rPr/>
        <w:t>they each have the power to enter into, exercise their rights, perform and comply with their respective obligations under this Agreement;</w:t>
      </w:r>
    </w:p>
    <w:p>
      <w:pPr>
        <w:pStyle w:val="Normal1"/>
        <w:numPr>
          <w:ilvl w:val="2"/>
          <w:numId w:val="1"/>
        </w:numPr>
        <w:pBdr/>
        <w:spacing w:lineRule="auto" w:line="276" w:before="0" w:after="160"/>
        <w:ind w:left="1530" w:hanging="270"/>
        <w:jc w:val="both"/>
        <w:rPr/>
      </w:pPr>
      <w:r>
        <w:rPr/>
        <w:t>all actions, conditions and things required to be taken, fulfilled and done (including the obtaining of any necessary consents) in order to enable each of the respective Parties to lawfully enter into, exercise its rights, perform and comply with its respective obligations under this Agreement have been taken, fulfilled and done;</w:t>
      </w:r>
    </w:p>
    <w:p>
      <w:pPr>
        <w:pStyle w:val="Normal1"/>
        <w:numPr>
          <w:ilvl w:val="2"/>
          <w:numId w:val="1"/>
        </w:numPr>
        <w:pBdr/>
        <w:spacing w:lineRule="auto" w:line="276" w:before="0" w:after="160"/>
        <w:ind w:left="1530" w:hanging="270"/>
        <w:jc w:val="both"/>
        <w:rPr/>
      </w:pPr>
      <w:r>
        <w:rPr/>
        <w:t>each of their respective obligations under this Agreement is valid, binding and enforceable in accordance with their respective terms;</w:t>
      </w:r>
    </w:p>
    <w:p>
      <w:pPr>
        <w:pStyle w:val="Normal1"/>
        <w:numPr>
          <w:ilvl w:val="2"/>
          <w:numId w:val="1"/>
        </w:numPr>
        <w:pBdr/>
        <w:spacing w:lineRule="auto" w:line="276" w:before="0" w:after="160"/>
        <w:ind w:left="1530" w:hanging="270"/>
        <w:jc w:val="both"/>
        <w:rPr/>
      </w:pPr>
      <w:r>
        <w:rPr/>
        <w:t>the execution, delivery and performance of this Agreement by the Parties and the matters contemplated hereby will not violate the provisions of:</w:t>
      </w:r>
    </w:p>
    <w:p>
      <w:pPr>
        <w:pStyle w:val="Normal1"/>
        <w:numPr>
          <w:ilvl w:val="0"/>
          <w:numId w:val="7"/>
        </w:numPr>
        <w:pBdr/>
        <w:spacing w:lineRule="auto" w:line="276" w:before="0" w:after="160"/>
        <w:ind w:left="2340" w:hanging="360"/>
        <w:jc w:val="both"/>
        <w:rPr/>
      </w:pPr>
      <w:r>
        <w:rPr/>
        <w:t>any law or any rule made pursuant to any law of agency, or any order of any court and that all requirements of any such law or order have been fully complied with and satisfied; and</w:t>
      </w:r>
    </w:p>
    <w:p>
      <w:pPr>
        <w:pStyle w:val="Normal1"/>
        <w:numPr>
          <w:ilvl w:val="0"/>
          <w:numId w:val="7"/>
        </w:numPr>
        <w:pBdr/>
        <w:spacing w:lineRule="auto" w:line="276" w:before="0" w:after="160"/>
        <w:ind w:left="2340" w:hanging="360"/>
        <w:jc w:val="both"/>
        <w:rPr/>
      </w:pPr>
      <w:r>
        <w:rPr/>
        <w:t>any contract or other undertaking or instrument to which each Party is a party or which is binding upon the said Party;</w:t>
      </w:r>
    </w:p>
    <w:p>
      <w:pPr>
        <w:pStyle w:val="Normal1"/>
        <w:numPr>
          <w:ilvl w:val="1"/>
          <w:numId w:val="1"/>
        </w:numPr>
        <w:pBdr/>
        <w:spacing w:lineRule="auto" w:line="276" w:before="0" w:after="160"/>
        <w:ind w:left="630" w:hanging="270"/>
        <w:jc w:val="both"/>
        <w:rPr/>
      </w:pPr>
      <w:r>
        <w:rPr/>
        <w:t xml:space="preserve">The Company represents and warrants to the Investor that: </w:t>
      </w:r>
    </w:p>
    <w:p>
      <w:pPr>
        <w:pStyle w:val="Normal1"/>
        <w:numPr>
          <w:ilvl w:val="2"/>
          <w:numId w:val="1"/>
        </w:numPr>
        <w:pBdr/>
        <w:spacing w:lineRule="auto" w:line="276" w:before="0" w:after="160"/>
        <w:ind w:left="1530" w:hanging="270"/>
        <w:jc w:val="both"/>
        <w:rPr/>
      </w:pPr>
      <w:r>
        <w:rPr/>
        <w:t>It is duly incorporated and validly existing under the laws of Indonesia as a legal entity and has full power and authority to own its assets and carry on its business as is now being carried on;</w:t>
      </w:r>
    </w:p>
    <w:p>
      <w:pPr>
        <w:pStyle w:val="Normal1"/>
        <w:numPr>
          <w:ilvl w:val="2"/>
          <w:numId w:val="1"/>
        </w:numPr>
        <w:pBdr/>
        <w:spacing w:lineRule="auto" w:line="276" w:before="0" w:after="160"/>
        <w:ind w:left="1530" w:hanging="270"/>
        <w:jc w:val="both"/>
        <w:rPr/>
      </w:pPr>
      <w:r>
        <w:rPr/>
        <w:t>It has the power to enter into, exercise its rights, perform and comply with its respective obligations under this Agreement;</w:t>
      </w:r>
    </w:p>
    <w:p>
      <w:pPr>
        <w:pStyle w:val="Normal1"/>
        <w:numPr>
          <w:ilvl w:val="2"/>
          <w:numId w:val="1"/>
        </w:numPr>
        <w:pBdr/>
        <w:spacing w:lineRule="auto" w:line="276" w:before="0" w:after="160"/>
        <w:ind w:left="1530" w:hanging="270"/>
        <w:jc w:val="both"/>
        <w:rPr/>
      </w:pPr>
      <w:r>
        <w:rPr/>
        <w:t>The fulfilment of the responsibilities does not violate or conflict with any applicable law or regulation, any provision of its constitutional documents, order or judgement of any court applicable to it, or any contractual restriction binding on it;</w:t>
      </w:r>
    </w:p>
    <w:p>
      <w:pPr>
        <w:pStyle w:val="Normal1"/>
        <w:numPr>
          <w:ilvl w:val="1"/>
          <w:numId w:val="1"/>
        </w:numPr>
        <w:pBdr/>
        <w:spacing w:lineRule="auto" w:line="276" w:before="0" w:after="160"/>
        <w:ind w:left="630" w:hanging="270"/>
        <w:jc w:val="both"/>
        <w:rPr/>
      </w:pPr>
      <w:r>
        <w:rPr/>
        <w:t>The Investor shall indemnify and hold the Company harmless from and against any and all damages, deficiencies, judgments, actions, suits, proceedings, arbitration, assessment, costs and expenses suffered or paid by the Investor, directly, or indirectly, as a result of or relating to or in respect of any misrepresentation of the matters or breach of any representation or warranty by the Company in this Agreement.</w:t>
      </w:r>
    </w:p>
    <w:p>
      <w:pPr>
        <w:pStyle w:val="Normal1"/>
        <w:numPr>
          <w:ilvl w:val="1"/>
          <w:numId w:val="1"/>
        </w:numPr>
        <w:pBdr/>
        <w:spacing w:lineRule="auto" w:line="276" w:before="0" w:after="160"/>
        <w:ind w:left="630" w:hanging="270"/>
        <w:jc w:val="both"/>
        <w:rPr>
          <w:u w:val="none"/>
        </w:rPr>
      </w:pPr>
      <w:r>
        <w:rPr/>
        <w:t>The Company shall indemnify and hold the Investor harmless from and against any and all damages, deficiencies, judgments, actions, suits, proceedings, arbitration, assessment, costs and expenses suffered or paid by the Company, as a result of or relating to or in respect of any misrepresentation of the matters or breach of any representation or warranty by the Investor in this Agreement.</w:t>
      </w:r>
    </w:p>
    <w:p>
      <w:pPr>
        <w:pStyle w:val="Normal1"/>
        <w:numPr>
          <w:ilvl w:val="1"/>
          <w:numId w:val="1"/>
        </w:numPr>
        <w:pBdr/>
        <w:spacing w:lineRule="auto" w:line="276" w:before="0" w:after="160"/>
        <w:ind w:left="630" w:hanging="270"/>
        <w:jc w:val="both"/>
        <w:rPr/>
      </w:pPr>
      <w:r>
        <w:rPr/>
        <w:t xml:space="preserve">All or any portion of the Investor’s rights, interest and obligations under this Agreement may be transferred and assigned to the nominee(s) by filling up the nominee’s details in </w:t>
      </w:r>
      <w:r>
        <w:rPr>
          <w:b/>
        </w:rPr>
        <w:t>Section 12 of the Appendix.</w:t>
      </w:r>
    </w:p>
    <w:p>
      <w:pPr>
        <w:pStyle w:val="Normal1"/>
        <w:numPr>
          <w:ilvl w:val="1"/>
          <w:numId w:val="1"/>
        </w:numPr>
        <w:pBdr/>
        <w:spacing w:lineRule="auto" w:line="276" w:before="0" w:after="160"/>
        <w:ind w:left="630" w:hanging="270"/>
        <w:jc w:val="both"/>
        <w:rPr/>
      </w:pPr>
      <w:r>
        <w:rPr/>
        <w:t>The Agreement contains the entire understanding between the Parties relating to the transactions contemplated by the Agreement and shall supersede any prior expressions of intent or understandings with respect to the said transaction. All prior or contemporaneous agreements, understandings, representations and statements, oral and written, are merged in the Agreement and shall be of no further force or effect.</w:t>
      </w:r>
    </w:p>
    <w:p>
      <w:pPr>
        <w:pStyle w:val="Normal1"/>
        <w:numPr>
          <w:ilvl w:val="1"/>
          <w:numId w:val="1"/>
        </w:numPr>
        <w:pBdr/>
        <w:spacing w:lineRule="auto" w:line="276" w:before="0" w:after="160"/>
        <w:ind w:left="630" w:hanging="270"/>
        <w:jc w:val="both"/>
        <w:rPr/>
      </w:pPr>
      <w:r>
        <w:rPr/>
        <w:t>The Agreement may be executed in any number of counterparts, and this has the same effect as if the signatures on the counterparts were on a single copy of the Agreement.</w:t>
      </w:r>
    </w:p>
    <w:p>
      <w:pPr>
        <w:pStyle w:val="Normal1"/>
        <w:numPr>
          <w:ilvl w:val="1"/>
          <w:numId w:val="1"/>
        </w:numPr>
        <w:pBdr/>
        <w:spacing w:lineRule="auto" w:line="276" w:before="0" w:after="160"/>
        <w:ind w:left="630" w:hanging="270"/>
        <w:jc w:val="both"/>
        <w:rPr/>
      </w:pPr>
      <w:r>
        <w:rPr/>
        <w:t xml:space="preserve">The Investor agrees to waive any profit above the Projected Gross Profit Return on Investment (ROI) as specified in </w:t>
      </w:r>
      <w:r>
        <w:rPr>
          <w:b/>
        </w:rPr>
        <w:t>Section 5 of the Appendix.</w:t>
      </w:r>
      <w:r>
        <w:rPr/>
        <w:t xml:space="preserve"> The waived amount will be used as an incentive fee for the Issuer.</w:t>
      </w:r>
    </w:p>
    <w:p>
      <w:pPr>
        <w:pStyle w:val="Normal1"/>
        <w:numPr>
          <w:ilvl w:val="1"/>
          <w:numId w:val="1"/>
        </w:numPr>
        <w:pBdr/>
        <w:spacing w:lineRule="auto" w:line="276" w:before="0" w:after="160"/>
        <w:ind w:left="630" w:hanging="270"/>
        <w:jc w:val="both"/>
        <w:rPr/>
      </w:pPr>
      <w:r>
        <w:rPr/>
        <w:t>The Investor agrees to keep all information relating to the Agreement confidential, and not disclose it to anyone, save with the prior written consent of the Company or as required by any applicable laws or regulations.</w:t>
      </w:r>
    </w:p>
    <w:p>
      <w:pPr>
        <w:pStyle w:val="Normal1"/>
        <w:numPr>
          <w:ilvl w:val="1"/>
          <w:numId w:val="1"/>
        </w:numPr>
        <w:pBdr/>
        <w:spacing w:lineRule="auto" w:line="276" w:before="0" w:after="160"/>
        <w:ind w:left="630" w:hanging="270"/>
        <w:jc w:val="both"/>
        <w:rPr/>
      </w:pPr>
      <w:r>
        <w:rPr/>
        <w:t>The Agreement is intended to be Shariah-compliant. The parties hereby agree and acknowledge that their respective rights and obligations under the Agreement are intended to, and shall, be in conformity with Shariah principles.</w:t>
      </w:r>
    </w:p>
    <w:p>
      <w:pPr>
        <w:pStyle w:val="Normal1"/>
        <w:numPr>
          <w:ilvl w:val="1"/>
          <w:numId w:val="1"/>
        </w:numPr>
        <w:pBdr/>
        <w:spacing w:lineRule="auto" w:line="276" w:before="0" w:after="160"/>
        <w:ind w:left="630" w:hanging="270"/>
        <w:jc w:val="both"/>
        <w:rPr/>
      </w:pPr>
      <w:r>
        <w:rPr/>
        <w:t>Notwithstanding the above, each party represents to the other that it shall not raise any objections or claims against the other on the basis of Shariah-compliance or any breach of Shariah principles in respect of or otherwise in relation to any part of any provision of the Agreement.</w:t>
      </w:r>
    </w:p>
    <w:p>
      <w:pPr>
        <w:pStyle w:val="Normal1"/>
        <w:numPr>
          <w:ilvl w:val="1"/>
          <w:numId w:val="1"/>
        </w:numPr>
        <w:pBdr/>
        <w:spacing w:lineRule="auto" w:line="276" w:before="0" w:after="160"/>
        <w:ind w:left="630" w:hanging="270"/>
        <w:jc w:val="both"/>
        <w:rPr/>
      </w:pPr>
      <w:r>
        <w:rPr/>
        <w:t>Each of the above representations and warranties shall survive the signing and delivery of this Agreement and the Parties shall be deemed to represent and warrant to each of the other parties that the representations and warranties set out in this Section are true and correct in all respects.</w:t>
      </w:r>
    </w:p>
    <w:p>
      <w:pPr>
        <w:pStyle w:val="Normal1"/>
        <w:numPr>
          <w:ilvl w:val="0"/>
          <w:numId w:val="1"/>
        </w:numPr>
        <w:spacing w:lineRule="auto" w:line="276" w:before="0" w:after="160"/>
        <w:ind w:left="630" w:hanging="450"/>
        <w:jc w:val="both"/>
        <w:rPr>
          <w:b/>
          <w:b/>
        </w:rPr>
      </w:pPr>
      <w:r>
        <w:rPr>
          <w:b/>
        </w:rPr>
        <w:t>TERMINATION</w:t>
      </w:r>
    </w:p>
    <w:p>
      <w:pPr>
        <w:pStyle w:val="Normal1"/>
        <w:numPr>
          <w:ilvl w:val="1"/>
          <w:numId w:val="1"/>
        </w:numPr>
        <w:spacing w:lineRule="auto" w:line="276" w:before="0" w:after="160"/>
        <w:ind w:left="630" w:hanging="270"/>
        <w:jc w:val="both"/>
        <w:rPr/>
      </w:pPr>
      <w:r>
        <w:rPr/>
        <w:t xml:space="preserve">The appointment of the Company herein shall cease upon the transfer of the Investor’s portion of the profit actualized in the project to the Investor, or upon sending a written notice to the email address of the Investor in other circumstances that may be specified in the notice, and that shall serve as sufficient notice. </w:t>
      </w:r>
    </w:p>
    <w:p>
      <w:pPr>
        <w:pStyle w:val="Normal1"/>
        <w:numPr>
          <w:ilvl w:val="1"/>
          <w:numId w:val="1"/>
        </w:numPr>
        <w:spacing w:lineRule="auto" w:line="276" w:before="0" w:after="160"/>
        <w:ind w:left="630" w:hanging="270"/>
        <w:jc w:val="both"/>
        <w:rPr/>
      </w:pPr>
      <w:r>
        <w:rPr/>
        <w:t>No provision of the Agreement may be amended, waived, discharged or terminated orally nor may any breach of or default under any of the provisions of the Agreement be waived or discharged orally but (in each case) only by an instrument in writing signed by or on behalf of the Parties. Any amendments or variations to the Agreement shall be Shariah-compliant.</w:t>
      </w:r>
    </w:p>
    <w:p>
      <w:pPr>
        <w:pStyle w:val="Normal1"/>
        <w:numPr>
          <w:ilvl w:val="0"/>
          <w:numId w:val="1"/>
        </w:numPr>
        <w:pBdr/>
        <w:spacing w:lineRule="auto" w:line="276" w:before="0" w:after="160"/>
        <w:ind w:left="630" w:hanging="450"/>
        <w:jc w:val="both"/>
        <w:rPr>
          <w:b/>
          <w:b/>
        </w:rPr>
      </w:pPr>
      <w:r>
        <w:rPr>
          <w:b/>
        </w:rPr>
        <w:t>GOVERNING LAW:</w:t>
      </w:r>
    </w:p>
    <w:p>
      <w:pPr>
        <w:pStyle w:val="Normal1"/>
        <w:numPr>
          <w:ilvl w:val="1"/>
          <w:numId w:val="1"/>
        </w:numPr>
        <w:pBdr/>
        <w:spacing w:lineRule="auto" w:line="276" w:before="0" w:after="160"/>
        <w:ind w:left="630" w:hanging="270"/>
        <w:jc w:val="both"/>
        <w:rPr/>
      </w:pPr>
      <w:r>
        <w:rPr/>
        <w:t>This Agreement shall be governed by and interpreted in accordance with the laws of Indonesia, and the parties irrevocably agree to:</w:t>
      </w:r>
    </w:p>
    <w:p>
      <w:pPr>
        <w:pStyle w:val="Normal1"/>
        <w:numPr>
          <w:ilvl w:val="2"/>
          <w:numId w:val="1"/>
        </w:numPr>
        <w:pBdr/>
        <w:spacing w:lineRule="auto" w:line="276" w:before="0" w:after="160"/>
        <w:ind w:left="1530" w:hanging="270"/>
        <w:jc w:val="both"/>
        <w:rPr/>
      </w:pPr>
      <w:r>
        <w:rPr/>
        <w:t>submit to the non-exclusive jurisdiction of the Courts in Indonesia;</w:t>
      </w:r>
    </w:p>
    <w:p>
      <w:pPr>
        <w:pStyle w:val="Normal1"/>
        <w:numPr>
          <w:ilvl w:val="2"/>
          <w:numId w:val="1"/>
        </w:numPr>
        <w:pBdr/>
        <w:spacing w:lineRule="auto" w:line="276" w:before="0" w:after="160"/>
        <w:ind w:left="1530" w:hanging="270"/>
        <w:jc w:val="both"/>
        <w:rPr/>
      </w:pPr>
      <w:r>
        <w:rPr/>
        <w:t>waive any objections on the suitability of venue, jurisdiction or any similar grounds; and</w:t>
      </w:r>
    </w:p>
    <w:p>
      <w:pPr>
        <w:pStyle w:val="Normal1"/>
        <w:numPr>
          <w:ilvl w:val="2"/>
          <w:numId w:val="1"/>
        </w:numPr>
        <w:pBdr/>
        <w:spacing w:lineRule="auto" w:line="276" w:before="0" w:after="160"/>
        <w:ind w:left="1530" w:hanging="270"/>
        <w:jc w:val="both"/>
        <w:rPr/>
      </w:pPr>
      <w:r>
        <w:rPr/>
        <w:t>consent to the service of the legal process in any manner permitted by this Agreement.</w:t>
      </w:r>
    </w:p>
    <w:p>
      <w:pPr>
        <w:pStyle w:val="Normal1"/>
        <w:numPr>
          <w:ilvl w:val="1"/>
          <w:numId w:val="1"/>
        </w:numPr>
        <w:pBdr/>
        <w:spacing w:lineRule="auto" w:line="276" w:before="0" w:after="160"/>
        <w:ind w:left="630" w:hanging="270"/>
        <w:jc w:val="both"/>
        <w:rPr/>
      </w:pPr>
      <w:bookmarkStart w:id="4" w:name="_heading=h.3znysh7"/>
      <w:bookmarkEnd w:id="4"/>
      <w:r>
        <w:rPr/>
        <w:t>If at any time any one or more of the provisions hereof is or becomes illegal, invalid or unenforceable under Indonesian law, neither the legality, validity or enforceability of the remaining provisions hereof nor the legality, validity or enforceability of such provisions under the laws of any other jurisdiction shall in any way be affected or impaired thereby.</w:t>
      </w:r>
    </w:p>
    <w:p>
      <w:pPr>
        <w:pStyle w:val="Normal1"/>
        <w:numPr>
          <w:ilvl w:val="1"/>
          <w:numId w:val="1"/>
        </w:numPr>
        <w:pBdr/>
        <w:spacing w:lineRule="auto" w:line="276" w:before="0" w:after="160"/>
        <w:ind w:left="630" w:hanging="270"/>
        <w:jc w:val="both"/>
        <w:rPr/>
      </w:pPr>
      <w:r>
        <w:rPr/>
        <w:t>If any provision of the Agreement (or part of it) or the application thereof to any person or circumstance shall be illegal, invalid or unenforceable to any extent, it must be interpreted as narrowly as necessary to allow it to be enforceable or valid and the remainder of the Agreement and the legality, validity or enforceability of such provisions to other persons or circumstances shall not be in any way affected or impaired thereby and shall be enforceable / enforced to the greatest extent permitted by law.</w:t>
      </w:r>
    </w:p>
    <w:p>
      <w:pPr>
        <w:pStyle w:val="Normal1"/>
        <w:numPr>
          <w:ilvl w:val="0"/>
          <w:numId w:val="1"/>
        </w:numPr>
        <w:spacing w:lineRule="auto" w:line="276" w:before="0" w:after="160"/>
        <w:ind w:left="630" w:hanging="450"/>
        <w:jc w:val="both"/>
        <w:rPr>
          <w:b/>
          <w:b/>
        </w:rPr>
      </w:pPr>
      <w:r>
        <w:rPr>
          <w:b/>
        </w:rPr>
        <w:t>MISCELLANEOUS</w:t>
      </w:r>
    </w:p>
    <w:p>
      <w:pPr>
        <w:pStyle w:val="Normal1"/>
        <w:numPr>
          <w:ilvl w:val="1"/>
          <w:numId w:val="1"/>
        </w:numPr>
        <w:spacing w:lineRule="auto" w:line="276" w:before="0" w:after="160"/>
        <w:ind w:left="630" w:hanging="270"/>
        <w:jc w:val="both"/>
        <w:rPr/>
      </w:pPr>
      <w:r>
        <w:rPr>
          <w:b/>
        </w:rPr>
        <w:t xml:space="preserve">Events of Default: </w:t>
      </w:r>
      <w:r>
        <w:rPr/>
        <w:t>An Event of Default is deemed to have occurred in any of the following circumstances, whether or not arising due to the fault of the Issuer;</w:t>
      </w:r>
    </w:p>
    <w:p>
      <w:pPr>
        <w:pStyle w:val="Normal1"/>
        <w:numPr>
          <w:ilvl w:val="2"/>
          <w:numId w:val="1"/>
        </w:numPr>
        <w:spacing w:lineRule="auto" w:line="276" w:before="0" w:after="160"/>
        <w:ind w:left="1620" w:hanging="180"/>
        <w:jc w:val="both"/>
        <w:rPr/>
      </w:pPr>
      <w:r>
        <w:rPr/>
        <w:t>Any representation or warranty given or made by the Issuer proves to be untrue, incorrect or inaccurate in any material respect; or</w:t>
      </w:r>
    </w:p>
    <w:p>
      <w:pPr>
        <w:pStyle w:val="Normal1"/>
        <w:numPr>
          <w:ilvl w:val="2"/>
          <w:numId w:val="1"/>
        </w:numPr>
        <w:spacing w:lineRule="auto" w:line="276" w:before="0" w:after="160"/>
        <w:ind w:left="1620" w:hanging="180"/>
        <w:jc w:val="both"/>
        <w:rPr/>
      </w:pPr>
      <w:r>
        <w:rPr/>
        <w:t>Any step is taken for the winding-up, liquidation or dissolution of the Issuer.</w:t>
      </w:r>
    </w:p>
    <w:p>
      <w:pPr>
        <w:pStyle w:val="Normal1"/>
        <w:numPr>
          <w:ilvl w:val="2"/>
          <w:numId w:val="1"/>
        </w:numPr>
        <w:spacing w:lineRule="auto" w:line="276" w:before="0" w:after="160"/>
        <w:ind w:left="1620" w:hanging="180"/>
        <w:jc w:val="both"/>
        <w:rPr/>
      </w:pPr>
      <w:r>
        <w:rPr/>
        <w:t>Upon the occurrence of any Event of Default, the Investor shall have the right by notice to the Issuer to declare the entire proportion of the capital invested and the actualised profit if any to become immediately due and payable.</w:t>
      </w:r>
    </w:p>
    <w:p>
      <w:pPr>
        <w:pStyle w:val="Normal1"/>
        <w:numPr>
          <w:ilvl w:val="1"/>
          <w:numId w:val="1"/>
        </w:numPr>
        <w:spacing w:lineRule="auto" w:line="276" w:before="0" w:after="160"/>
        <w:ind w:left="630" w:hanging="270"/>
        <w:jc w:val="both"/>
        <w:rPr/>
      </w:pPr>
      <w:r>
        <w:rPr>
          <w:b/>
        </w:rPr>
        <w:t xml:space="preserve">Communication: </w:t>
      </w:r>
      <w:r>
        <w:rPr/>
        <w:t>Any communication to be made under or in connection with the Agreement shall be made in writing and may be made by electronic mail, through the Company at Maryam@Ethis.co or at such other address as the Company may notify the Investor from time to time. Any communication made between the Company and the Investor under or in connection with the Agreement shall be made to the address or electronic mail address provided to the Company or its registered address, in the case of the Issuer, and shall be effective when received.</w:t>
      </w:r>
    </w:p>
    <w:p>
      <w:pPr>
        <w:pStyle w:val="Normal1"/>
        <w:numPr>
          <w:ilvl w:val="1"/>
          <w:numId w:val="1"/>
        </w:numPr>
        <w:spacing w:lineRule="auto" w:line="276" w:before="0" w:after="160"/>
        <w:ind w:left="630" w:hanging="270"/>
        <w:jc w:val="both"/>
        <w:rPr/>
      </w:pPr>
      <w:r>
        <w:rPr>
          <w:b/>
        </w:rPr>
        <w:t>Refund Policy:</w:t>
      </w:r>
    </w:p>
    <w:p>
      <w:pPr>
        <w:pStyle w:val="Normal1"/>
        <w:numPr>
          <w:ilvl w:val="2"/>
          <w:numId w:val="1"/>
        </w:numPr>
        <w:spacing w:lineRule="auto" w:line="276" w:before="0" w:after="160"/>
        <w:ind w:left="1620" w:hanging="270"/>
        <w:jc w:val="both"/>
        <w:rPr/>
      </w:pPr>
      <w:r>
        <w:rPr/>
        <w:t xml:space="preserve">The Commitment Amount cannot be claimed back once it is received by the Company until the maturity of the Project. </w:t>
      </w:r>
    </w:p>
    <w:p>
      <w:pPr>
        <w:pStyle w:val="Normal1"/>
        <w:numPr>
          <w:ilvl w:val="2"/>
          <w:numId w:val="1"/>
        </w:numPr>
        <w:spacing w:lineRule="auto" w:line="276" w:before="0" w:after="160"/>
        <w:ind w:left="1620" w:hanging="270"/>
        <w:jc w:val="both"/>
        <w:rPr/>
      </w:pPr>
      <w:r>
        <w:rPr/>
        <w:t>Where the right to refund is applicable, the Investor agrees to bear all transaction costs and losses due to currency exchange rate fluctuations.</w:t>
      </w:r>
    </w:p>
    <w:p>
      <w:pPr>
        <w:pStyle w:val="Normal1"/>
        <w:numPr>
          <w:ilvl w:val="1"/>
          <w:numId w:val="1"/>
        </w:numPr>
        <w:spacing w:lineRule="auto" w:line="276" w:before="0" w:after="160"/>
        <w:ind w:left="630" w:hanging="270"/>
        <w:jc w:val="both"/>
        <w:rPr/>
      </w:pPr>
      <w:bookmarkStart w:id="5" w:name="_heading=h.2et92p0"/>
      <w:bookmarkEnd w:id="5"/>
      <w:r>
        <w:rPr>
          <w:b/>
        </w:rPr>
        <w:t xml:space="preserve">Business Risks and Financial Loss: </w:t>
      </w:r>
      <w:r>
        <w:rPr/>
        <w:t>The Investor acknowledges and agrees that the investment in the Project through the Company is accompanied by all business risks associated with a venture or project of such nature. Accordingly:</w:t>
      </w:r>
    </w:p>
    <w:p>
      <w:pPr>
        <w:pStyle w:val="Normal1"/>
        <w:numPr>
          <w:ilvl w:val="2"/>
          <w:numId w:val="1"/>
        </w:numPr>
        <w:spacing w:lineRule="auto" w:line="276" w:before="0" w:after="160"/>
        <w:ind w:left="1620" w:hanging="270"/>
        <w:jc w:val="both"/>
        <w:rPr/>
      </w:pPr>
      <w:r>
        <w:rPr/>
        <w:t xml:space="preserve">There is no assurance or guarantee given by the Company or any director of the Company, its affiliates (the </w:t>
      </w:r>
      <w:r>
        <w:rPr>
          <w:b/>
        </w:rPr>
        <w:t>“Ethis Group”</w:t>
      </w:r>
      <w:r>
        <w:rPr/>
        <w:t>) or any other person that the Company will obtain the Sale Proceeds in the amount projected or anticipated or any amount of revenue or profit whatsoever from the Project;</w:t>
      </w:r>
    </w:p>
    <w:p>
      <w:pPr>
        <w:pStyle w:val="Normal1"/>
        <w:numPr>
          <w:ilvl w:val="2"/>
          <w:numId w:val="1"/>
        </w:numPr>
        <w:spacing w:lineRule="auto" w:line="276" w:before="0" w:after="160"/>
        <w:ind w:left="1620" w:hanging="270"/>
        <w:jc w:val="both"/>
        <w:rPr/>
      </w:pPr>
      <w:r>
        <w:rPr/>
        <w:t>Investment in the Project comes with a risk of a substantial or total loss, and there is no assurance or guarantee given by the Ethis Group or any other person that the Investor will be able to receive or recover any amount invested under this Agreement or any profit projected by the Company.</w:t>
      </w:r>
    </w:p>
    <w:p>
      <w:pPr>
        <w:pStyle w:val="Normal1"/>
        <w:numPr>
          <w:ilvl w:val="2"/>
          <w:numId w:val="1"/>
        </w:numPr>
        <w:spacing w:lineRule="auto" w:line="276" w:before="0" w:after="160"/>
        <w:ind w:left="1620" w:hanging="270"/>
        <w:jc w:val="both"/>
        <w:rPr/>
      </w:pPr>
      <w:r>
        <w:rPr/>
        <w:t>In accordance with the Shariah principle of Musharakah, all actual financial losses incurred or accrued by the Project shall be borne jointly by the Investor Group and the Issuer in proportionate to their Capital Contribution Ratio. However, if the loss is due to the Issuer’s gross negligence or there has been any breach of representation or warranty given by the Issuer or the Issuer has acted in contrary with the terms of the venture which causes loss to the venture, the Issuer shall be liable for the amount of the loss to the Commitment Amount.</w:t>
      </w:r>
    </w:p>
    <w:p>
      <w:pPr>
        <w:pStyle w:val="Normal1"/>
        <w:numPr>
          <w:ilvl w:val="1"/>
          <w:numId w:val="1"/>
        </w:numPr>
        <w:spacing w:lineRule="auto" w:line="276" w:before="0" w:after="160"/>
        <w:ind w:left="630" w:hanging="270"/>
        <w:jc w:val="both"/>
        <w:rPr/>
      </w:pPr>
      <w:r>
        <w:rPr>
          <w:b/>
        </w:rPr>
        <w:t xml:space="preserve">Currency of the Investment: </w:t>
      </w:r>
      <w:r>
        <w:rPr/>
        <w:t xml:space="preserve">The Project is located as specified in </w:t>
      </w:r>
      <w:r>
        <w:rPr>
          <w:b/>
        </w:rPr>
        <w:t>Section 2 of the Appendix</w:t>
      </w:r>
      <w:r>
        <w:rPr/>
        <w:t xml:space="preserve"> and the currency used in the calculation of the capital contribution of the Musharakah, the Profit Sharing Ratio and any projected return on investment thereof will be in the Indonesian Rupiah (IDR), the local currency where the Project is located. This is to determine the contribution ratio of both the Investors and the Issuer as this will make the calculation of profit based on the determined PSR more accurate.</w:t>
      </w:r>
      <w:r>
        <w:rPr>
          <w:b/>
        </w:rPr>
        <w:t xml:space="preserve">  </w:t>
      </w:r>
    </w:p>
    <w:p>
      <w:pPr>
        <w:pStyle w:val="Normal1"/>
        <w:numPr>
          <w:ilvl w:val="1"/>
          <w:numId w:val="1"/>
        </w:numPr>
        <w:spacing w:lineRule="auto" w:line="276" w:before="0" w:after="160"/>
        <w:ind w:left="630" w:hanging="270"/>
        <w:jc w:val="both"/>
        <w:rPr/>
      </w:pPr>
      <w:r>
        <w:rPr>
          <w:b/>
        </w:rPr>
        <w:t>Joint Investment</w:t>
      </w:r>
      <w:r>
        <w:rPr/>
        <w:t>: The Investor may include one additional Investor to invest under this Agreement jointly:</w:t>
      </w:r>
    </w:p>
    <w:p>
      <w:pPr>
        <w:pStyle w:val="Normal1"/>
        <w:numPr>
          <w:ilvl w:val="2"/>
          <w:numId w:val="1"/>
        </w:numPr>
        <w:spacing w:lineRule="auto" w:line="276" w:before="0" w:after="160"/>
        <w:ind w:left="1710" w:hanging="360"/>
        <w:jc w:val="both"/>
        <w:rPr/>
      </w:pPr>
      <w:r>
        <w:rPr/>
        <w:t xml:space="preserve">This Clause on joint investment shall be applicable only to those Investors who invest jointly under this Agreement as specified in </w:t>
      </w:r>
      <w:r>
        <w:rPr>
          <w:b/>
        </w:rPr>
        <w:t>Section 11</w:t>
      </w:r>
      <w:r>
        <w:rPr>
          <w:b/>
          <w:color w:val="FF0000"/>
        </w:rPr>
        <w:t xml:space="preserve"> </w:t>
      </w:r>
      <w:r>
        <w:rPr>
          <w:b/>
        </w:rPr>
        <w:t>of the Appendix.</w:t>
      </w:r>
    </w:p>
    <w:p>
      <w:pPr>
        <w:pStyle w:val="Normal1"/>
        <w:numPr>
          <w:ilvl w:val="3"/>
          <w:numId w:val="1"/>
        </w:numPr>
        <w:spacing w:lineRule="auto" w:line="276" w:before="0" w:after="160"/>
        <w:ind w:left="2880" w:hanging="360"/>
        <w:jc w:val="both"/>
        <w:rPr/>
      </w:pPr>
      <w:r>
        <w:rPr/>
        <w:t>The right to make a joint investment is considered exercised by filling the details of the additional Investor under this Agreement.</w:t>
      </w:r>
    </w:p>
    <w:p>
      <w:pPr>
        <w:pStyle w:val="Normal1"/>
        <w:numPr>
          <w:ilvl w:val="2"/>
          <w:numId w:val="1"/>
        </w:numPr>
        <w:spacing w:lineRule="auto" w:line="276" w:before="0" w:after="160"/>
        <w:ind w:left="1710" w:hanging="360"/>
        <w:jc w:val="both"/>
        <w:rPr/>
      </w:pPr>
      <w:r>
        <w:rPr/>
        <w:t>Each of the Investors hereby appoints the other Investor and the other Investor accepts the appointment to act as the agent of the one another.  The appointment shall continue until the termination of this Agreement.</w:t>
      </w:r>
    </w:p>
    <w:p>
      <w:pPr>
        <w:pStyle w:val="Normal1"/>
        <w:numPr>
          <w:ilvl w:val="2"/>
          <w:numId w:val="1"/>
        </w:numPr>
        <w:spacing w:lineRule="auto" w:line="276" w:before="0" w:after="160"/>
        <w:ind w:left="1710" w:hanging="360"/>
        <w:jc w:val="both"/>
        <w:rPr/>
      </w:pPr>
      <w:r>
        <w:rPr/>
        <w:t>Unless otherwise stated, the terms under this Agreement shall be applicable to each Investor Jointly and severally.</w:t>
      </w:r>
    </w:p>
    <w:p>
      <w:pPr>
        <w:pStyle w:val="Normal1"/>
        <w:numPr>
          <w:ilvl w:val="2"/>
          <w:numId w:val="1"/>
        </w:numPr>
        <w:spacing w:lineRule="auto" w:line="276" w:before="0" w:after="160"/>
        <w:ind w:left="1710" w:hanging="360"/>
        <w:jc w:val="both"/>
        <w:rPr/>
      </w:pPr>
      <w:r>
        <w:rPr/>
        <w:t>Each Investor’s contribution to the Commitment Amount shall be agreed upon among the Investors.</w:t>
      </w:r>
    </w:p>
    <w:p>
      <w:pPr>
        <w:pStyle w:val="Normal1"/>
        <w:numPr>
          <w:ilvl w:val="2"/>
          <w:numId w:val="1"/>
        </w:numPr>
        <w:spacing w:lineRule="auto" w:line="276" w:before="0" w:after="160"/>
        <w:ind w:left="1710" w:hanging="360"/>
        <w:jc w:val="both"/>
        <w:rPr/>
      </w:pPr>
      <w:r>
        <w:rPr/>
        <w:t>Each Investor shall be entitled to the profits of the investment proportionate to his/her respective contribution therein.</w:t>
      </w:r>
    </w:p>
    <w:p>
      <w:pPr>
        <w:pStyle w:val="Normal1"/>
        <w:numPr>
          <w:ilvl w:val="2"/>
          <w:numId w:val="1"/>
        </w:numPr>
        <w:spacing w:lineRule="auto" w:line="276" w:before="0" w:after="160"/>
        <w:ind w:left="1710" w:hanging="360"/>
        <w:jc w:val="both"/>
        <w:rPr/>
      </w:pPr>
      <w:r>
        <w:rPr/>
        <w:t xml:space="preserve">The Issuer shall not be liable for the distribution of the profit among Investors. </w:t>
      </w:r>
    </w:p>
    <w:p>
      <w:pPr>
        <w:pStyle w:val="Normal1"/>
        <w:numPr>
          <w:ilvl w:val="2"/>
          <w:numId w:val="1"/>
        </w:numPr>
        <w:spacing w:lineRule="auto" w:line="276" w:before="0" w:after="160"/>
        <w:ind w:left="1710" w:hanging="360"/>
        <w:jc w:val="both"/>
        <w:rPr/>
      </w:pPr>
      <w:r>
        <w:rPr/>
        <w:t>Each Investor shall act as the agent of the other, and the actions of one Investor shall be representative of both Investors and binding on both Investors.</w:t>
      </w:r>
    </w:p>
    <w:p>
      <w:pPr>
        <w:pStyle w:val="Normal1"/>
        <w:numPr>
          <w:ilvl w:val="3"/>
          <w:numId w:val="1"/>
        </w:numPr>
        <w:spacing w:lineRule="auto" w:line="276" w:before="0" w:after="160"/>
        <w:ind w:left="2790" w:hanging="360"/>
        <w:jc w:val="both"/>
        <w:rPr/>
      </w:pPr>
      <w:r>
        <w:rPr/>
        <w:t>In pursuance to this clause, the signature of either Investor shall amount to an acceptance of both Investors.</w:t>
      </w:r>
    </w:p>
    <w:p>
      <w:pPr>
        <w:pStyle w:val="Normal1"/>
        <w:numPr>
          <w:ilvl w:val="2"/>
          <w:numId w:val="1"/>
        </w:numPr>
        <w:spacing w:lineRule="auto" w:line="276" w:before="0" w:after="160"/>
        <w:ind w:left="1710" w:hanging="360"/>
        <w:jc w:val="both"/>
        <w:rPr/>
      </w:pPr>
      <w:r>
        <w:rPr/>
        <w:t xml:space="preserve">Each Investor shall indemnify the Issuer against any claims that might arise directly or indirectly as a result of the joint investment arrangement. </w:t>
      </w:r>
    </w:p>
    <w:p>
      <w:pPr>
        <w:pStyle w:val="Normal1"/>
        <w:numPr>
          <w:ilvl w:val="1"/>
          <w:numId w:val="1"/>
        </w:numPr>
        <w:spacing w:lineRule="auto" w:line="276" w:before="0" w:after="160"/>
        <w:ind w:left="630" w:hanging="360"/>
        <w:jc w:val="both"/>
        <w:rPr/>
      </w:pPr>
      <w:r>
        <w:rPr>
          <w:b/>
        </w:rPr>
        <w:t>Nomination</w:t>
      </w:r>
      <w:r>
        <w:rPr/>
        <w:t>: All or any portion of the Investor’s rights, interest and obligations under this Agreement may be transferred and assigned to the nominee(s) designated by the Investor in accordance to the terms of this Agreement.</w:t>
      </w:r>
    </w:p>
    <w:p>
      <w:pPr>
        <w:pStyle w:val="Normal1"/>
        <w:numPr>
          <w:ilvl w:val="2"/>
          <w:numId w:val="1"/>
        </w:numPr>
        <w:spacing w:lineRule="auto" w:line="276" w:before="0" w:after="160"/>
        <w:ind w:left="1710" w:hanging="360"/>
        <w:jc w:val="both"/>
        <w:rPr/>
      </w:pPr>
      <w:r>
        <w:rPr/>
        <w:t>The assignment shall be effective only upon the occurrence of one of the following:</w:t>
      </w:r>
    </w:p>
    <w:p>
      <w:pPr>
        <w:pStyle w:val="Normal1"/>
        <w:numPr>
          <w:ilvl w:val="3"/>
          <w:numId w:val="1"/>
        </w:numPr>
        <w:spacing w:lineRule="auto" w:line="276" w:before="0" w:after="160"/>
        <w:ind w:left="2880" w:hanging="360"/>
        <w:jc w:val="both"/>
        <w:rPr/>
      </w:pPr>
      <w:r>
        <w:rPr/>
        <w:t>The Investor’s written notice via an email; or</w:t>
      </w:r>
    </w:p>
    <w:p>
      <w:pPr>
        <w:pStyle w:val="Normal1"/>
        <w:numPr>
          <w:ilvl w:val="3"/>
          <w:numId w:val="1"/>
        </w:numPr>
        <w:spacing w:lineRule="auto" w:line="276" w:before="0" w:after="160"/>
        <w:ind w:left="2880" w:hanging="360"/>
        <w:jc w:val="both"/>
        <w:rPr/>
      </w:pPr>
      <w:r>
        <w:rPr/>
        <w:t>The Investor’s death.</w:t>
      </w:r>
    </w:p>
    <w:p>
      <w:pPr>
        <w:pStyle w:val="Normal1"/>
        <w:numPr>
          <w:ilvl w:val="2"/>
          <w:numId w:val="1"/>
        </w:numPr>
        <w:spacing w:lineRule="auto" w:line="276" w:before="0" w:after="160"/>
        <w:ind w:left="1710" w:hanging="360"/>
        <w:jc w:val="both"/>
        <w:rPr/>
      </w:pPr>
      <w:r>
        <w:rPr/>
        <w:t>The Investor hereby grants the Company permission to communicate with the Nominee, if the Investor is unreachable for more than one (1) month.</w:t>
      </w:r>
    </w:p>
    <w:p>
      <w:pPr>
        <w:pStyle w:val="Normal1"/>
        <w:numPr>
          <w:ilvl w:val="2"/>
          <w:numId w:val="1"/>
        </w:numPr>
        <w:spacing w:lineRule="auto" w:line="276" w:before="0" w:after="160"/>
        <w:ind w:left="1710" w:hanging="360"/>
        <w:jc w:val="both"/>
        <w:rPr/>
      </w:pPr>
      <w:r>
        <w:rPr/>
        <w:t>In the event of the Investor’s death, the Nominee is hereby authorized to receive all amounts due from the Project.</w:t>
      </w:r>
    </w:p>
    <w:p>
      <w:pPr>
        <w:pStyle w:val="Normal1"/>
        <w:numPr>
          <w:ilvl w:val="2"/>
          <w:numId w:val="1"/>
        </w:numPr>
        <w:spacing w:lineRule="auto" w:line="276" w:before="0" w:after="160"/>
        <w:ind w:left="1710" w:hanging="360"/>
        <w:jc w:val="both"/>
        <w:rPr/>
      </w:pPr>
      <w:r>
        <w:rPr/>
        <w:t xml:space="preserve">Investors who profess the religion of Islam hereby acknowledge that Muslims are bound by religion to distribute their estate in accordance to the Islamic law of inheritance and shall take that into consideration for the purpose of this clause. </w:t>
      </w:r>
    </w:p>
    <w:p>
      <w:pPr>
        <w:pStyle w:val="Normal1"/>
        <w:numPr>
          <w:ilvl w:val="2"/>
          <w:numId w:val="1"/>
        </w:numPr>
        <w:spacing w:lineRule="auto" w:line="276" w:before="0" w:after="160"/>
        <w:ind w:left="1710" w:hanging="360"/>
        <w:jc w:val="both"/>
        <w:rPr/>
      </w:pPr>
      <w:r>
        <w:rPr/>
        <w:t>In the event of the death of only one of the Investors of jointly investment agreement, the payouts shall be transferred to the surviving Investor. In the event of the death of both Investors, the payouts shall be transferred to the Nominee.</w:t>
      </w:r>
    </w:p>
    <w:p>
      <w:pPr>
        <w:pStyle w:val="Normal1"/>
        <w:numPr>
          <w:ilvl w:val="2"/>
          <w:numId w:val="1"/>
        </w:numPr>
        <w:spacing w:lineRule="auto" w:line="276" w:before="0" w:after="160"/>
        <w:ind w:left="1710" w:hanging="360"/>
        <w:jc w:val="both"/>
        <w:rPr/>
      </w:pPr>
      <w:r>
        <w:rPr/>
        <w:t xml:space="preserve">The Investor may from time to time revoke any such nomination and/or to name another nominee with written notification via email duly received and registered by the Company. Other than revocation via written notice, subsequent nomination and death of nominee during the lifetime of the Investor, a nomination shall not be revoked. </w:t>
      </w:r>
    </w:p>
    <w:p>
      <w:pPr>
        <w:pStyle w:val="Normal1"/>
        <w:spacing w:lineRule="auto" w:line="276" w:before="0" w:after="160"/>
        <w:jc w:val="both"/>
        <w:rPr>
          <w:b/>
          <w:b/>
        </w:rPr>
      </w:pPr>
      <w:r>
        <w:rPr>
          <w:b/>
        </w:rPr>
      </w:r>
    </w:p>
    <w:p>
      <w:pPr>
        <w:pStyle w:val="Normal1"/>
        <w:spacing w:lineRule="auto" w:line="276" w:before="0" w:after="160"/>
        <w:jc w:val="both"/>
        <w:rPr>
          <w:b/>
          <w:b/>
        </w:rPr>
      </w:pPr>
      <w:r>
        <w:rPr>
          <w:b/>
        </w:rPr>
        <w:t xml:space="preserve">In Witness Whereof </w:t>
      </w:r>
      <w:r>
        <w:rPr/>
        <w:t>the Parties hereto have hereunto set their seal and hands the day and year first above written.</w:t>
      </w:r>
    </w:p>
    <w:tbl>
      <w:tblPr>
        <w:tblStyle w:val="Table2"/>
        <w:tblW w:w="9285" w:type="dxa"/>
        <w:jc w:val="left"/>
        <w:tblInd w:w="55" w:type="dxa"/>
        <w:tblCellMar>
          <w:top w:w="0" w:type="dxa"/>
          <w:left w:w="108" w:type="dxa"/>
          <w:bottom w:w="0" w:type="dxa"/>
          <w:right w:w="108" w:type="dxa"/>
        </w:tblCellMar>
        <w:tblLook w:val="0400"/>
      </w:tblPr>
      <w:tblGrid>
        <w:gridCol w:w="4949"/>
        <w:gridCol w:w="4335"/>
      </w:tblGrid>
      <w:tr>
        <w:trPr>
          <w:trHeight w:val="220" w:hRule="atLeast"/>
        </w:trPr>
        <w:tc>
          <w:tcPr>
            <w:tcW w:w="4949" w:type="dxa"/>
            <w:tcBorders/>
            <w:shd w:fill="auto" w:val="clear"/>
          </w:tcPr>
          <w:p>
            <w:pPr>
              <w:pStyle w:val="Normal1"/>
              <w:tabs>
                <w:tab w:val="clear" w:pos="720"/>
                <w:tab w:val="left" w:pos="2970" w:leader="none"/>
                <w:tab w:val="left" w:pos="3261" w:leader="none"/>
              </w:tabs>
              <w:spacing w:lineRule="auto" w:line="276" w:before="0" w:after="160"/>
              <w:jc w:val="both"/>
              <w:rPr/>
            </w:pPr>
            <w:r>
              <w:rPr/>
            </w:r>
          </w:p>
          <w:p>
            <w:pPr>
              <w:pStyle w:val="Normal1"/>
              <w:spacing w:lineRule="auto" w:line="276" w:before="0" w:after="160"/>
              <w:rPr>
                <w:b/>
                <w:b/>
              </w:rPr>
            </w:pPr>
            <w:r>
              <w:rPr>
                <w:b/>
              </w:rPr>
              <w:t>For the Company</w:t>
            </w:r>
          </w:p>
          <w:p>
            <w:pPr>
              <w:pStyle w:val="Normal1"/>
              <w:spacing w:lineRule="auto" w:line="276" w:before="0" w:after="160"/>
              <w:rPr/>
            </w:pPr>
            <w:r>
              <w:rPr/>
            </w:r>
          </w:p>
          <w:p>
            <w:pPr>
              <w:pStyle w:val="Normal1"/>
              <w:spacing w:lineRule="auto" w:line="276" w:before="0" w:after="160"/>
              <w:rPr/>
            </w:pPr>
            <w:r>
              <w:rPr/>
            </w:r>
          </w:p>
          <w:p>
            <w:pPr>
              <w:pStyle w:val="Normal1"/>
              <w:spacing w:lineRule="auto" w:line="276" w:before="0" w:after="160"/>
              <w:rPr/>
            </w:pPr>
            <w:r>
              <w:rPr/>
            </w:r>
          </w:p>
          <w:p>
            <w:pPr>
              <w:pStyle w:val="Normal1"/>
              <w:tabs>
                <w:tab w:val="clear" w:pos="720"/>
                <w:tab w:val="left" w:pos="0" w:leader="none"/>
                <w:tab w:val="left" w:pos="2520" w:leader="none"/>
              </w:tabs>
              <w:spacing w:lineRule="auto" w:line="276" w:before="0" w:after="160"/>
              <w:jc w:val="both"/>
              <w:rPr/>
            </w:pPr>
            <w:r>
              <w:rPr/>
              <w:t>______________________________</w:t>
            </w:r>
          </w:p>
          <w:p>
            <w:pPr>
              <w:pStyle w:val="Normal1"/>
              <w:tabs>
                <w:tab w:val="clear" w:pos="720"/>
                <w:tab w:val="left" w:pos="0" w:leader="none"/>
                <w:tab w:val="left" w:pos="2520" w:leader="none"/>
              </w:tabs>
              <w:spacing w:lineRule="auto" w:line="360" w:before="0" w:after="0"/>
              <w:jc w:val="both"/>
              <w:rPr/>
            </w:pPr>
            <w:r>
              <w:rPr/>
              <w:t>Name: Resi Petty Aradia</w:t>
            </w:r>
          </w:p>
          <w:p>
            <w:pPr>
              <w:pStyle w:val="Normal1"/>
              <w:tabs>
                <w:tab w:val="clear" w:pos="720"/>
                <w:tab w:val="left" w:pos="0" w:leader="none"/>
                <w:tab w:val="left" w:pos="2520" w:leader="none"/>
              </w:tabs>
              <w:spacing w:lineRule="auto" w:line="360" w:before="0" w:after="0"/>
              <w:jc w:val="both"/>
              <w:rPr/>
            </w:pPr>
            <w:r>
              <w:rPr/>
              <w:t>Designation:</w:t>
            </w:r>
            <w:r>
              <w:rPr>
                <w:b/>
              </w:rPr>
              <w:t xml:space="preserve"> </w:t>
            </w:r>
            <w:r>
              <w:rPr/>
              <w:t xml:space="preserve">Director </w:t>
            </w:r>
          </w:p>
          <w:p>
            <w:pPr>
              <w:pStyle w:val="Normal1"/>
              <w:tabs>
                <w:tab w:val="clear" w:pos="720"/>
                <w:tab w:val="left" w:pos="0" w:leader="none"/>
                <w:tab w:val="left" w:pos="2520" w:leader="none"/>
              </w:tabs>
              <w:spacing w:lineRule="auto" w:line="360" w:before="0" w:after="0"/>
              <w:jc w:val="both"/>
              <w:rPr>
                <w:b/>
                <w:b/>
              </w:rPr>
            </w:pPr>
            <w:r>
              <w:rPr/>
              <w:t xml:space="preserve">PT Sentosa Membangun Bangsa             </w:t>
            </w:r>
          </w:p>
          <w:p>
            <w:pPr>
              <w:pStyle w:val="Normal1"/>
              <w:tabs>
                <w:tab w:val="clear" w:pos="720"/>
                <w:tab w:val="left" w:pos="0" w:leader="none"/>
                <w:tab w:val="left" w:pos="2520" w:leader="none"/>
              </w:tabs>
              <w:spacing w:lineRule="auto" w:line="276" w:before="0" w:after="160"/>
              <w:jc w:val="both"/>
              <w:rPr>
                <w:b/>
                <w:b/>
              </w:rPr>
            </w:pPr>
            <w:r>
              <w:rPr>
                <w:b/>
              </w:rPr>
            </w:r>
          </w:p>
        </w:tc>
        <w:tc>
          <w:tcPr>
            <w:tcW w:w="4335" w:type="dxa"/>
            <w:tcBorders/>
            <w:shd w:fill="auto" w:val="clear"/>
          </w:tcPr>
          <w:p>
            <w:pPr>
              <w:pStyle w:val="Normal1"/>
              <w:spacing w:lineRule="auto" w:line="276" w:before="0" w:after="160"/>
              <w:rPr>
                <w:b/>
                <w:b/>
              </w:rPr>
            </w:pPr>
            <w:r>
              <w:rPr>
                <w:b/>
              </w:rPr>
            </w:r>
          </w:p>
          <w:p>
            <w:pPr>
              <w:pStyle w:val="Normal1"/>
              <w:spacing w:lineRule="auto" w:line="276" w:before="0" w:after="160"/>
              <w:rPr>
                <w:b/>
                <w:b/>
              </w:rPr>
            </w:pPr>
            <w:r>
              <w:rPr>
                <w:b/>
              </w:rPr>
              <w:t>For the Investor</w:t>
            </w:r>
          </w:p>
          <w:p>
            <w:pPr>
              <w:pStyle w:val="Normal1"/>
              <w:spacing w:lineRule="auto" w:line="276" w:before="0" w:after="160"/>
              <w:rPr/>
            </w:pPr>
            <w:r>
              <w:rPr/>
            </w:r>
          </w:p>
          <w:p>
            <w:pPr>
              <w:pStyle w:val="Normal1"/>
              <w:spacing w:lineRule="auto" w:line="276" w:before="0" w:after="160"/>
              <w:rPr/>
            </w:pPr>
            <w:r>
              <w:rPr/>
            </w:r>
          </w:p>
          <w:p>
            <w:pPr>
              <w:pStyle w:val="Normal1"/>
              <w:spacing w:lineRule="auto" w:line="276" w:before="0" w:after="160"/>
              <w:rPr/>
            </w:pPr>
            <w:r>
              <w:rPr/>
            </w:r>
          </w:p>
          <w:p>
            <w:pPr>
              <w:pStyle w:val="Normal1"/>
              <w:tabs>
                <w:tab w:val="clear" w:pos="720"/>
                <w:tab w:val="left" w:pos="0" w:leader="none"/>
                <w:tab w:val="left" w:pos="2520" w:leader="none"/>
              </w:tabs>
              <w:spacing w:lineRule="auto" w:line="276" w:before="0" w:after="160"/>
              <w:jc w:val="both"/>
              <w:rPr/>
            </w:pPr>
            <w:r>
              <w:rPr/>
              <w:t>________________________________</w:t>
            </w:r>
          </w:p>
          <w:p>
            <w:pPr>
              <w:pStyle w:val="Normal1"/>
              <w:keepNext w:val="false"/>
              <w:keepLines w:val="false"/>
              <w:widowControl/>
              <w:pBdr/>
              <w:shd w:val="clear" w:fill="auto"/>
              <w:tabs>
                <w:tab w:val="clear" w:pos="720"/>
                <w:tab w:val="left" w:pos="0" w:leader="none"/>
                <w:tab w:val="left" w:pos="2520" w:leader="none"/>
              </w:tabs>
              <w:spacing w:lineRule="auto" w:line="360" w:before="0" w:after="0"/>
              <w:ind w:left="0" w:right="0" w:hanging="0"/>
              <w:jc w:val="both"/>
              <w:rPr>
                <w:b/>
                <w:b/>
              </w:rPr>
            </w:pPr>
            <w:r>
              <w:rPr/>
              <w:t>Name: __________________________</w:t>
              <w:br/>
              <w:t>NRIC/Passport No.: ________________</w:t>
            </w:r>
          </w:p>
        </w:tc>
      </w:tr>
    </w:tbl>
    <w:p>
      <w:pPr>
        <w:pStyle w:val="Normal1"/>
        <w:spacing w:lineRule="auto" w:line="276" w:before="0" w:after="160"/>
        <w:jc w:val="center"/>
        <w:rPr>
          <w:b/>
          <w:b/>
        </w:rPr>
      </w:pPr>
      <w:r>
        <w:rPr>
          <w:b/>
        </w:rPr>
        <w:t>APPENDIX</w:t>
      </w:r>
    </w:p>
    <w:p>
      <w:pPr>
        <w:pStyle w:val="Normal1"/>
        <w:spacing w:lineRule="auto" w:line="276" w:before="0" w:after="160"/>
        <w:jc w:val="both"/>
        <w:rPr>
          <w:b/>
          <w:b/>
        </w:rPr>
      </w:pPr>
      <w:r>
        <w:rPr/>
        <w:t>(which shall be read, taken and construed as an essential part of this Agreement)</w:t>
      </w:r>
    </w:p>
    <w:tbl>
      <w:tblPr>
        <w:tblStyle w:val="Table3"/>
        <w:tblW w:w="9330" w:type="dxa"/>
        <w:jc w:val="left"/>
        <w:tblInd w:w="75" w:type="dxa"/>
        <w:tblCellMar>
          <w:top w:w="0" w:type="dxa"/>
          <w:left w:w="108" w:type="dxa"/>
          <w:bottom w:w="0" w:type="dxa"/>
          <w:right w:w="108" w:type="dxa"/>
        </w:tblCellMar>
        <w:tblLook w:val="0400"/>
      </w:tblPr>
      <w:tblGrid>
        <w:gridCol w:w="1035"/>
        <w:gridCol w:w="2325"/>
        <w:gridCol w:w="5970"/>
      </w:tblGrid>
      <w:tr>
        <w:trPr>
          <w:trHeight w:val="580" w:hRule="atLeast"/>
        </w:trPr>
        <w:tc>
          <w:tcPr>
            <w:tcW w:w="1035" w:type="dxa"/>
            <w:tcBorders>
              <w:top w:val="single" w:sz="4" w:space="0" w:color="000000"/>
              <w:left w:val="single" w:sz="4" w:space="0" w:color="000000"/>
              <w:bottom w:val="single" w:sz="4" w:space="0" w:color="000000"/>
              <w:right w:val="single" w:sz="4" w:space="0" w:color="000000"/>
            </w:tcBorders>
            <w:shd w:fill="F7CBAC" w:val="clear"/>
            <w:vAlign w:val="center"/>
          </w:tcPr>
          <w:p>
            <w:pPr>
              <w:pStyle w:val="Normal1"/>
              <w:spacing w:lineRule="auto" w:line="276" w:before="0" w:after="160"/>
              <w:jc w:val="both"/>
              <w:rPr>
                <w:b/>
                <w:b/>
              </w:rPr>
            </w:pPr>
            <w:r>
              <w:rPr>
                <w:b/>
              </w:rPr>
              <w:t>Section</w:t>
            </w:r>
          </w:p>
        </w:tc>
        <w:tc>
          <w:tcPr>
            <w:tcW w:w="2325" w:type="dxa"/>
            <w:tcBorders>
              <w:top w:val="single" w:sz="4" w:space="0" w:color="000000"/>
              <w:left w:val="single" w:sz="4" w:space="0" w:color="000000"/>
              <w:bottom w:val="single" w:sz="4" w:space="0" w:color="000000"/>
              <w:right w:val="single" w:sz="4" w:space="0" w:color="000000"/>
            </w:tcBorders>
            <w:shd w:fill="F7CBAC" w:val="clear"/>
            <w:vAlign w:val="center"/>
          </w:tcPr>
          <w:p>
            <w:pPr>
              <w:pStyle w:val="Normal1"/>
              <w:widowControl w:val="false"/>
              <w:spacing w:lineRule="auto" w:line="276" w:before="0" w:after="160"/>
              <w:jc w:val="both"/>
              <w:rPr>
                <w:b/>
                <w:b/>
              </w:rPr>
            </w:pPr>
            <w:r>
              <w:rPr>
                <w:b/>
              </w:rPr>
              <w:t>Matter</w:t>
            </w:r>
          </w:p>
        </w:tc>
        <w:tc>
          <w:tcPr>
            <w:tcW w:w="5970" w:type="dxa"/>
            <w:tcBorders>
              <w:top w:val="single" w:sz="4" w:space="0" w:color="000000"/>
              <w:left w:val="single" w:sz="4" w:space="0" w:color="000000"/>
              <w:bottom w:val="single" w:sz="4" w:space="0" w:color="000000"/>
              <w:right w:val="single" w:sz="4" w:space="0" w:color="000000"/>
            </w:tcBorders>
            <w:shd w:fill="F7CBAC" w:val="clear"/>
            <w:vAlign w:val="center"/>
          </w:tcPr>
          <w:p>
            <w:pPr>
              <w:pStyle w:val="Normal1"/>
              <w:widowControl w:val="false"/>
              <w:spacing w:lineRule="auto" w:line="276" w:before="0" w:after="160"/>
              <w:jc w:val="both"/>
              <w:rPr>
                <w:b/>
                <w:b/>
              </w:rPr>
            </w:pPr>
            <w:r>
              <w:rPr>
                <w:b/>
              </w:rPr>
              <w:t>Particulars</w:t>
            </w:r>
          </w:p>
        </w:tc>
      </w:tr>
      <w:tr>
        <w:trPr/>
        <w:tc>
          <w:tcPr>
            <w:tcW w:w="1035" w:type="dxa"/>
            <w:tcBorders>
              <w:top w:val="single" w:sz="4" w:space="0" w:color="000000"/>
              <w:left w:val="single" w:sz="4" w:space="0" w:color="000000"/>
              <w:bottom w:val="single" w:sz="4" w:space="0" w:color="000000"/>
              <w:right w:val="single" w:sz="4" w:space="0" w:color="000000"/>
            </w:tcBorders>
            <w:shd w:fill="auto" w:val="clear"/>
          </w:tcPr>
          <w:p>
            <w:pPr>
              <w:pStyle w:val="Normal1"/>
              <w:spacing w:lineRule="auto" w:line="276" w:before="0" w:after="200"/>
              <w:jc w:val="both"/>
              <w:rPr>
                <w:b/>
                <w:b/>
              </w:rPr>
            </w:pPr>
            <w:r>
              <w:rPr>
                <w:b/>
              </w:rPr>
              <w:t xml:space="preserve">1. </w:t>
            </w:r>
          </w:p>
        </w:tc>
        <w:tc>
          <w:tcPr>
            <w:tcW w:w="2325" w:type="dxa"/>
            <w:tcBorders>
              <w:top w:val="single" w:sz="4" w:space="0" w:color="000000"/>
              <w:left w:val="single" w:sz="4" w:space="0" w:color="000000"/>
              <w:bottom w:val="single" w:sz="4" w:space="0" w:color="000000"/>
              <w:right w:val="single" w:sz="4" w:space="0" w:color="000000"/>
            </w:tcBorders>
            <w:shd w:fill="auto" w:val="clear"/>
          </w:tcPr>
          <w:p>
            <w:pPr>
              <w:pStyle w:val="Normal1"/>
              <w:spacing w:lineRule="auto" w:line="276" w:before="0" w:after="200"/>
              <w:jc w:val="both"/>
              <w:rPr>
                <w:b/>
                <w:b/>
              </w:rPr>
            </w:pPr>
            <w:r>
              <w:rPr>
                <w:b/>
              </w:rPr>
              <w:t>Date of this Agreement</w:t>
            </w:r>
          </w:p>
        </w:tc>
        <w:tc>
          <w:tcPr>
            <w:tcW w:w="5970" w:type="dxa"/>
            <w:tcBorders>
              <w:top w:val="single" w:sz="4" w:space="0" w:color="000000"/>
              <w:left w:val="single" w:sz="4" w:space="0" w:color="000000"/>
              <w:bottom w:val="single" w:sz="4" w:space="0" w:color="000000"/>
              <w:right w:val="single" w:sz="4" w:space="0" w:color="000000"/>
            </w:tcBorders>
            <w:shd w:fill="auto" w:val="clear"/>
            <w:tcMar>
              <w:top w:w="144" w:type="dxa"/>
              <w:left w:w="144" w:type="dxa"/>
              <w:bottom w:w="144" w:type="dxa"/>
              <w:right w:w="144" w:type="dxa"/>
            </w:tcMar>
          </w:tcPr>
          <w:p>
            <w:pPr>
              <w:pStyle w:val="Normal1"/>
              <w:spacing w:lineRule="auto" w:line="276" w:before="0" w:after="200"/>
              <w:jc w:val="both"/>
              <w:rPr/>
            </w:pPr>
            <w:r>
              <w:rPr/>
              <w:t>_______________</w:t>
            </w:r>
          </w:p>
          <w:p>
            <w:pPr>
              <w:pStyle w:val="Normal1"/>
              <w:spacing w:lineRule="auto" w:line="276" w:before="0" w:after="0"/>
              <w:jc w:val="both"/>
              <w:rPr/>
            </w:pPr>
            <w:r>
              <w:rPr/>
              <w:t>This Agreement shall be effective from this date until such time the Agreement is terminated in accordance with the terms and conditions of this Agreement.</w:t>
            </w:r>
          </w:p>
        </w:tc>
      </w:tr>
      <w:tr>
        <w:trPr>
          <w:trHeight w:val="2625" w:hRule="atLeast"/>
        </w:trPr>
        <w:tc>
          <w:tcPr>
            <w:tcW w:w="1035" w:type="dxa"/>
            <w:tcBorders>
              <w:top w:val="single" w:sz="4" w:space="0" w:color="000000"/>
              <w:left w:val="single" w:sz="4" w:space="0" w:color="000000"/>
              <w:bottom w:val="single" w:sz="4" w:space="0" w:color="000000"/>
              <w:right w:val="single" w:sz="4" w:space="0" w:color="000000"/>
            </w:tcBorders>
            <w:shd w:fill="auto" w:val="clear"/>
          </w:tcPr>
          <w:p>
            <w:pPr>
              <w:pStyle w:val="Normal1"/>
              <w:spacing w:lineRule="auto" w:line="276" w:before="0" w:after="200"/>
              <w:jc w:val="both"/>
              <w:rPr>
                <w:b/>
                <w:b/>
              </w:rPr>
            </w:pPr>
            <w:r>
              <w:rPr>
                <w:b/>
              </w:rPr>
              <w:t>2.</w:t>
            </w:r>
          </w:p>
        </w:tc>
        <w:tc>
          <w:tcPr>
            <w:tcW w:w="2325" w:type="dxa"/>
            <w:tcBorders>
              <w:top w:val="single" w:sz="4" w:space="0" w:color="000000"/>
              <w:left w:val="single" w:sz="4" w:space="0" w:color="000000"/>
              <w:bottom w:val="single" w:sz="4" w:space="0" w:color="000000"/>
              <w:right w:val="single" w:sz="4" w:space="0" w:color="000000"/>
            </w:tcBorders>
            <w:shd w:fill="auto" w:val="clear"/>
          </w:tcPr>
          <w:p>
            <w:pPr>
              <w:pStyle w:val="Normal1"/>
              <w:spacing w:lineRule="auto" w:line="276" w:before="0" w:after="200"/>
              <w:jc w:val="both"/>
              <w:rPr>
                <w:b/>
                <w:b/>
              </w:rPr>
            </w:pPr>
            <w:r>
              <w:rPr>
                <w:b/>
              </w:rPr>
              <w:t>Project</w:t>
            </w:r>
          </w:p>
        </w:tc>
        <w:tc>
          <w:tcPr>
            <w:tcW w:w="5970" w:type="dxa"/>
            <w:tcBorders>
              <w:top w:val="single" w:sz="4" w:space="0" w:color="000000"/>
              <w:left w:val="single" w:sz="4" w:space="0" w:color="000000"/>
              <w:bottom w:val="single" w:sz="4" w:space="0" w:color="000000"/>
              <w:right w:val="single" w:sz="4" w:space="0" w:color="000000"/>
            </w:tcBorders>
            <w:shd w:fill="auto" w:val="clear"/>
            <w:tcMar>
              <w:top w:w="144" w:type="dxa"/>
              <w:left w:w="144" w:type="dxa"/>
              <w:bottom w:w="144" w:type="dxa"/>
              <w:right w:w="144" w:type="dxa"/>
            </w:tcMar>
          </w:tcPr>
          <w:p>
            <w:pPr>
              <w:pStyle w:val="Normal1"/>
              <w:keepNext w:val="false"/>
              <w:keepLines w:val="false"/>
              <w:widowControl w:val="false"/>
              <w:pBdr/>
              <w:shd w:val="clear" w:fill="auto"/>
              <w:spacing w:lineRule="auto" w:line="276" w:before="0" w:after="0"/>
              <w:ind w:left="0" w:right="0" w:hanging="0"/>
              <w:jc w:val="both"/>
              <w:rPr/>
            </w:pPr>
            <w:r>
              <w:rPr/>
              <w:t>The Project’s title is</w:t>
            </w:r>
            <w:r>
              <w:rPr/>
              <w:t xml:space="preserve"> Petro Energi Solusi (PES 3)</w:t>
            </w:r>
            <w:r>
              <w:rPr/>
              <w:t xml:space="preserve">, located in </w:t>
            </w:r>
            <w:r>
              <w:rPr/>
              <w:t>East Java, Indonesia.</w:t>
            </w:r>
          </w:p>
          <w:p>
            <w:pPr>
              <w:pStyle w:val="Normal1"/>
              <w:keepNext w:val="false"/>
              <w:keepLines w:val="false"/>
              <w:widowControl w:val="false"/>
              <w:pBdr/>
              <w:shd w:val="clear" w:fill="auto"/>
              <w:spacing w:lineRule="auto" w:line="276" w:before="0" w:after="0"/>
              <w:ind w:left="0" w:right="0" w:hanging="0"/>
              <w:jc w:val="both"/>
              <w:rPr/>
            </w:pPr>
            <w:r>
              <w:rPr/>
            </w:r>
          </w:p>
          <w:p>
            <w:pPr>
              <w:pStyle w:val="Normal1"/>
              <w:widowControl w:val="false"/>
              <w:spacing w:lineRule="auto" w:line="276"/>
              <w:ind w:left="0" w:hanging="0"/>
              <w:rPr/>
            </w:pPr>
            <w:r>
              <w:rPr/>
              <w:t>The Issuer</w:t>
            </w:r>
            <w:r>
              <w:rPr/>
              <w:t xml:space="preserve"> is an authorised distributor for non-subsidy fuel that has shown strong growth in sales in recent past months. The Issuer is looking for funding to scale the business.</w:t>
            </w:r>
          </w:p>
          <w:p>
            <w:pPr>
              <w:pStyle w:val="Normal1"/>
              <w:widowControl w:val="false"/>
              <w:spacing w:lineRule="auto" w:line="276"/>
              <w:ind w:left="0" w:hanging="0"/>
              <w:rPr/>
            </w:pPr>
            <w:r>
              <w:rPr/>
            </w:r>
          </w:p>
          <w:p>
            <w:pPr>
              <w:pStyle w:val="Normal1"/>
              <w:widowControl w:val="false"/>
              <w:spacing w:lineRule="auto" w:line="276"/>
              <w:ind w:left="0" w:hanging="0"/>
              <w:rPr/>
            </w:pPr>
            <w:r>
              <w:rPr/>
              <w:t>This is the third collaborative project between the Issuer and Ethis investors. The first project was paid out successfully on time with the project successfully garnering an actualised return that matches the projected return. The second project has been partially paid according to maturity and the rest is properly monitored and will be paid according to time.</w:t>
            </w:r>
          </w:p>
          <w:p>
            <w:pPr>
              <w:pStyle w:val="Normal1"/>
              <w:widowControl w:val="false"/>
              <w:spacing w:lineRule="auto" w:line="276"/>
              <w:ind w:left="0" w:hanging="0"/>
              <w:rPr/>
            </w:pPr>
            <w:r>
              <w:rPr/>
            </w:r>
          </w:p>
          <w:p>
            <w:pPr>
              <w:pStyle w:val="Normal1"/>
              <w:widowControl w:val="false"/>
              <w:spacing w:lineRule="auto" w:line="276"/>
              <w:ind w:left="0" w:hanging="0"/>
              <w:rPr/>
            </w:pPr>
            <w:r>
              <w:rPr/>
              <w:t>The Issuer is one of the 10 non-subsidised authorised fuel distributors under PT Pertamina Patra Niaga ("Patra Niaga") in East Java.</w:t>
            </w:r>
          </w:p>
          <w:p>
            <w:pPr>
              <w:pStyle w:val="Normal1"/>
              <w:widowControl w:val="false"/>
              <w:spacing w:lineRule="auto" w:line="276"/>
              <w:ind w:left="0" w:hanging="0"/>
              <w:rPr/>
            </w:pPr>
            <w:r>
              <w:rPr/>
            </w:r>
          </w:p>
          <w:p>
            <w:pPr>
              <w:pStyle w:val="Normal1"/>
              <w:widowControl w:val="false"/>
              <w:spacing w:lineRule="auto" w:line="276"/>
              <w:ind w:left="0" w:hanging="0"/>
              <w:rPr/>
            </w:pPr>
            <w:r>
              <w:rPr/>
              <w:t>An industry veteran, the Issuer is engaged with 37 regular industry clients with recurring orders and has the potential to order more. The Issuer also has a massive retail market within the East Java ports, especially for fuel for sea transportation and fishers.</w:t>
            </w:r>
          </w:p>
          <w:p>
            <w:pPr>
              <w:pStyle w:val="Normal1"/>
              <w:widowControl w:val="false"/>
              <w:spacing w:lineRule="auto" w:line="276"/>
              <w:ind w:left="0" w:hanging="0"/>
              <w:rPr/>
            </w:pPr>
            <w:r>
              <w:rPr/>
            </w:r>
          </w:p>
          <w:p>
            <w:pPr>
              <w:pStyle w:val="Normal1"/>
              <w:widowControl w:val="false"/>
              <w:spacing w:lineRule="auto" w:line="276"/>
              <w:ind w:left="0" w:hanging="0"/>
              <w:jc w:val="both"/>
              <w:rPr/>
            </w:pPr>
            <w:r>
              <w:rPr/>
              <w:t>The use of funds from this project will be used to purchase petrol directly from Patra Niaga and sell it to the Issuer's regular and retail clients.</w:t>
            </w:r>
          </w:p>
          <w:p>
            <w:pPr>
              <w:pStyle w:val="Normal1"/>
              <w:keepNext w:val="false"/>
              <w:keepLines w:val="false"/>
              <w:widowControl w:val="false"/>
              <w:pBdr/>
              <w:shd w:val="clear" w:fill="auto"/>
              <w:spacing w:lineRule="auto" w:line="276" w:before="0" w:after="0"/>
              <w:ind w:left="0" w:right="0" w:hanging="0"/>
              <w:jc w:val="both"/>
              <w:rPr/>
            </w:pPr>
            <w:r>
              <w:rPr/>
            </w:r>
          </w:p>
          <w:p>
            <w:pPr>
              <w:pStyle w:val="Normal1"/>
              <w:keepNext w:val="false"/>
              <w:keepLines w:val="false"/>
              <w:widowControl w:val="false"/>
              <w:pBdr/>
              <w:shd w:val="clear" w:fill="auto"/>
              <w:spacing w:lineRule="auto" w:line="276" w:before="0" w:after="0"/>
              <w:ind w:left="0" w:right="0" w:hanging="0"/>
              <w:jc w:val="both"/>
              <w:rPr/>
            </w:pPr>
            <w:r>
              <w:rPr/>
              <w:t xml:space="preserve">The Company on behalf of the Investors will enter into a Musharaka agreement with the Issuer for works mentioned in the Project Milestones.                                                                                                                                                                                                                                                                                                                                                                                                                                                                                                                                                                                                                                                                                                                                                                                                                                                                                                                                                                                                        </w:t>
            </w:r>
          </w:p>
        </w:tc>
      </w:tr>
      <w:tr>
        <w:trPr>
          <w:trHeight w:val="495" w:hRule="atLeast"/>
        </w:trPr>
        <w:tc>
          <w:tcPr>
            <w:tcW w:w="1035" w:type="dxa"/>
            <w:tcBorders>
              <w:top w:val="single" w:sz="4" w:space="0" w:color="000000"/>
              <w:left w:val="single" w:sz="4" w:space="0" w:color="000000"/>
              <w:bottom w:val="single" w:sz="4" w:space="0" w:color="000000"/>
              <w:right w:val="single" w:sz="4" w:space="0" w:color="000000"/>
            </w:tcBorders>
            <w:shd w:fill="auto" w:val="clear"/>
          </w:tcPr>
          <w:p>
            <w:pPr>
              <w:pStyle w:val="Normal1"/>
              <w:spacing w:lineRule="auto" w:line="276" w:before="0" w:after="200"/>
              <w:jc w:val="both"/>
              <w:rPr>
                <w:b/>
                <w:b/>
              </w:rPr>
            </w:pPr>
            <w:r>
              <w:rPr>
                <w:b/>
              </w:rPr>
              <w:t xml:space="preserve">3. </w:t>
            </w:r>
          </w:p>
        </w:tc>
        <w:tc>
          <w:tcPr>
            <w:tcW w:w="2325" w:type="dxa"/>
            <w:tcBorders>
              <w:top w:val="single" w:sz="4" w:space="0" w:color="000000"/>
              <w:left w:val="single" w:sz="4" w:space="0" w:color="000000"/>
              <w:bottom w:val="single" w:sz="4" w:space="0" w:color="000000"/>
              <w:right w:val="single" w:sz="4" w:space="0" w:color="000000"/>
            </w:tcBorders>
            <w:shd w:fill="auto" w:val="clear"/>
          </w:tcPr>
          <w:p>
            <w:pPr>
              <w:pStyle w:val="Normal1"/>
              <w:spacing w:lineRule="auto" w:line="276" w:before="0" w:after="200"/>
              <w:jc w:val="both"/>
              <w:rPr>
                <w:b/>
                <w:b/>
              </w:rPr>
            </w:pPr>
            <w:r>
              <w:rPr>
                <w:b/>
              </w:rPr>
              <w:t>Purpose</w:t>
            </w:r>
          </w:p>
        </w:tc>
        <w:tc>
          <w:tcPr>
            <w:tcW w:w="5970" w:type="dxa"/>
            <w:tcBorders>
              <w:top w:val="single" w:sz="4" w:space="0" w:color="000000"/>
              <w:left w:val="single" w:sz="4" w:space="0" w:color="000000"/>
              <w:bottom w:val="single" w:sz="4" w:space="0" w:color="000000"/>
              <w:right w:val="single" w:sz="4" w:space="0" w:color="000000"/>
            </w:tcBorders>
            <w:shd w:fill="auto" w:val="clear"/>
            <w:tcMar>
              <w:top w:w="144" w:type="dxa"/>
              <w:left w:w="144" w:type="dxa"/>
              <w:bottom w:w="144" w:type="dxa"/>
              <w:right w:w="144" w:type="dxa"/>
            </w:tcMar>
          </w:tcPr>
          <w:p>
            <w:pPr>
              <w:pStyle w:val="Normal1"/>
              <w:widowControl w:val="false"/>
              <w:spacing w:lineRule="auto" w:line="300"/>
              <w:jc w:val="both"/>
              <w:rPr/>
            </w:pPr>
            <w:r>
              <w:rPr/>
              <w:t>The purpose of this Musharakah partnership is to allow the Issuer to receive funding necessary for industrial petrol trading.</w:t>
            </w:r>
          </w:p>
          <w:p>
            <w:pPr>
              <w:pStyle w:val="Normal1"/>
              <w:widowControl w:val="false"/>
              <w:spacing w:lineRule="auto" w:line="300"/>
              <w:jc w:val="both"/>
              <w:rPr/>
            </w:pPr>
            <w:r>
              <w:rPr/>
            </w:r>
          </w:p>
          <w:p>
            <w:pPr>
              <w:pStyle w:val="Normal1"/>
              <w:widowControl w:val="false"/>
              <w:spacing w:lineRule="auto" w:line="276"/>
              <w:jc w:val="both"/>
              <w:rPr/>
            </w:pPr>
            <w:r>
              <w:rPr/>
              <w:t>The Issuer will issue the invoice to their clients for the petrol trading. The clients will make the payment to the Issuer’ bank account which Ethis will be given viewing access throughout the tenure of the project.</w:t>
            </w:r>
          </w:p>
          <w:p>
            <w:pPr>
              <w:pStyle w:val="Normal1"/>
              <w:widowControl w:val="false"/>
              <w:spacing w:lineRule="auto" w:line="276"/>
              <w:jc w:val="both"/>
              <w:rPr/>
            </w:pPr>
            <w:r>
              <w:rPr/>
            </w:r>
          </w:p>
          <w:p>
            <w:pPr>
              <w:pStyle w:val="Normal1"/>
              <w:widowControl w:val="false"/>
              <w:spacing w:lineRule="auto" w:line="276"/>
              <w:jc w:val="both"/>
              <w:rPr/>
            </w:pPr>
            <w:r>
              <w:rPr/>
              <w:t>Upon receiving the payment, the Issuer will pay the investors their capital and profit (if any) and the Musharakah partnership will be dissolved.</w:t>
            </w:r>
          </w:p>
        </w:tc>
      </w:tr>
      <w:tr>
        <w:trPr>
          <w:trHeight w:val="2865" w:hRule="atLeast"/>
        </w:trPr>
        <w:tc>
          <w:tcPr>
            <w:tcW w:w="1035" w:type="dxa"/>
            <w:tcBorders>
              <w:top w:val="single" w:sz="4" w:space="0" w:color="000000"/>
              <w:left w:val="single" w:sz="4" w:space="0" w:color="000000"/>
              <w:bottom w:val="single" w:sz="4" w:space="0" w:color="000000"/>
              <w:right w:val="single" w:sz="4" w:space="0" w:color="000000"/>
            </w:tcBorders>
            <w:shd w:fill="auto" w:val="clear"/>
          </w:tcPr>
          <w:p>
            <w:pPr>
              <w:pStyle w:val="Normal1"/>
              <w:spacing w:lineRule="auto" w:line="276" w:before="0" w:after="200"/>
              <w:jc w:val="both"/>
              <w:rPr>
                <w:b/>
                <w:b/>
              </w:rPr>
            </w:pPr>
            <w:r>
              <w:rPr>
                <w:b/>
              </w:rPr>
              <w:t>4.</w:t>
            </w:r>
          </w:p>
        </w:tc>
        <w:tc>
          <w:tcPr>
            <w:tcW w:w="2325" w:type="dxa"/>
            <w:tcBorders>
              <w:top w:val="single" w:sz="4" w:space="0" w:color="000000"/>
              <w:left w:val="single" w:sz="4" w:space="0" w:color="000000"/>
              <w:bottom w:val="single" w:sz="4" w:space="0" w:color="000000"/>
              <w:right w:val="single" w:sz="4" w:space="0" w:color="000000"/>
            </w:tcBorders>
            <w:shd w:fill="auto" w:val="clear"/>
          </w:tcPr>
          <w:p>
            <w:pPr>
              <w:pStyle w:val="Normal1"/>
              <w:spacing w:lineRule="auto" w:line="276" w:before="0" w:after="200"/>
              <w:jc w:val="both"/>
              <w:rPr>
                <w:b/>
                <w:b/>
              </w:rPr>
            </w:pPr>
            <w:r>
              <w:rPr>
                <w:b/>
              </w:rPr>
              <w:t>Commitment Amount</w:t>
            </w:r>
          </w:p>
        </w:tc>
        <w:tc>
          <w:tcPr>
            <w:tcW w:w="5970" w:type="dxa"/>
            <w:tcBorders>
              <w:top w:val="single" w:sz="4" w:space="0" w:color="000000"/>
              <w:left w:val="single" w:sz="4" w:space="0" w:color="000000"/>
              <w:bottom w:val="single" w:sz="4" w:space="0" w:color="000000"/>
              <w:right w:val="single" w:sz="4" w:space="0" w:color="000000"/>
            </w:tcBorders>
            <w:shd w:fill="auto" w:val="clear"/>
            <w:tcMar>
              <w:top w:w="144" w:type="dxa"/>
              <w:left w:w="144" w:type="dxa"/>
              <w:bottom w:w="144" w:type="dxa"/>
              <w:right w:w="144" w:type="dxa"/>
            </w:tcMar>
          </w:tcPr>
          <w:p>
            <w:pPr>
              <w:pStyle w:val="Normal1"/>
              <w:spacing w:lineRule="auto" w:line="276" w:before="0" w:after="200"/>
              <w:rPr/>
            </w:pPr>
            <w:r>
              <w:rPr/>
              <w:t xml:space="preserve">The Investor will contribute IDR ___________ equivalent to SGD ___________ to the project in the Musharakah. The amount in IDR represents the share of the Investor individually in the Musharakah. </w:t>
            </w:r>
          </w:p>
          <w:p>
            <w:pPr>
              <w:pStyle w:val="Normal1"/>
              <w:spacing w:lineRule="auto" w:line="276" w:before="0" w:after="0"/>
              <w:jc w:val="both"/>
              <w:rPr/>
            </w:pPr>
            <w:r>
              <w:rPr/>
              <w:t xml:space="preserve">The currency is converted to IDR to determine the contribution ratio of both the Investors and the Issuer as this will make the calculation of profit based on the determined PSR more accurate. </w:t>
            </w:r>
          </w:p>
        </w:tc>
      </w:tr>
      <w:tr>
        <w:trPr>
          <w:trHeight w:val="2865" w:hRule="atLeast"/>
        </w:trPr>
        <w:tc>
          <w:tcPr>
            <w:tcW w:w="1035" w:type="dxa"/>
            <w:tcBorders>
              <w:top w:val="single" w:sz="4" w:space="0" w:color="000000"/>
              <w:left w:val="single" w:sz="4" w:space="0" w:color="000000"/>
              <w:bottom w:val="single" w:sz="4" w:space="0" w:color="000000"/>
              <w:right w:val="single" w:sz="4" w:space="0" w:color="000000"/>
            </w:tcBorders>
            <w:shd w:fill="auto" w:val="clear"/>
          </w:tcPr>
          <w:p>
            <w:pPr>
              <w:pStyle w:val="Normal1"/>
              <w:spacing w:lineRule="auto" w:line="240" w:before="0" w:after="200"/>
              <w:jc w:val="both"/>
              <w:rPr>
                <w:b/>
                <w:b/>
              </w:rPr>
            </w:pPr>
            <w:r>
              <w:rPr>
                <w:b/>
              </w:rPr>
              <w:t>5.</w:t>
            </w:r>
          </w:p>
        </w:tc>
        <w:tc>
          <w:tcPr>
            <w:tcW w:w="2325" w:type="dxa"/>
            <w:tcBorders>
              <w:top w:val="single" w:sz="4" w:space="0" w:color="000000"/>
              <w:left w:val="single" w:sz="4" w:space="0" w:color="000000"/>
              <w:bottom w:val="single" w:sz="4" w:space="0" w:color="000000"/>
              <w:right w:val="single" w:sz="4" w:space="0" w:color="000000"/>
            </w:tcBorders>
            <w:shd w:fill="auto" w:val="clear"/>
          </w:tcPr>
          <w:p>
            <w:pPr>
              <w:pStyle w:val="Normal1"/>
              <w:spacing w:lineRule="auto" w:line="240" w:before="0" w:after="200"/>
              <w:jc w:val="both"/>
              <w:rPr>
                <w:b/>
                <w:b/>
              </w:rPr>
            </w:pPr>
            <w:r>
              <w:rPr>
                <w:b/>
              </w:rPr>
              <w:t>Projected Gross Return</w:t>
            </w:r>
          </w:p>
        </w:tc>
        <w:tc>
          <w:tcPr>
            <w:tcW w:w="5970" w:type="dxa"/>
            <w:tcBorders>
              <w:top w:val="single" w:sz="4" w:space="0" w:color="000000"/>
              <w:left w:val="single" w:sz="4" w:space="0" w:color="000000"/>
              <w:bottom w:val="single" w:sz="4" w:space="0" w:color="000000"/>
              <w:right w:val="single" w:sz="4" w:space="0" w:color="000000"/>
            </w:tcBorders>
            <w:shd w:fill="auto" w:val="clear"/>
            <w:tcMar>
              <w:top w:w="144" w:type="dxa"/>
              <w:left w:w="144" w:type="dxa"/>
              <w:bottom w:w="144" w:type="dxa"/>
              <w:right w:w="144" w:type="dxa"/>
            </w:tcMar>
          </w:tcPr>
          <w:p>
            <w:pPr>
              <w:pStyle w:val="Normal1"/>
              <w:spacing w:lineRule="auto" w:line="240" w:before="0" w:after="200"/>
              <w:jc w:val="both"/>
              <w:rPr/>
            </w:pPr>
            <w:r>
              <w:rPr/>
              <w:t>The Projected Gross Return on Investment would be determined by the following:</w:t>
            </w:r>
          </w:p>
          <w:p>
            <w:pPr>
              <w:pStyle w:val="Normal1"/>
              <w:numPr>
                <w:ilvl w:val="0"/>
                <w:numId w:val="4"/>
              </w:numPr>
              <w:spacing w:lineRule="auto" w:line="240" w:before="0" w:after="200"/>
              <w:ind w:left="720" w:hanging="360"/>
              <w:jc w:val="both"/>
              <w:rPr/>
            </w:pPr>
            <w:r>
              <w:rPr/>
              <w:t>The Projected Gross Return on Investment is ____</w:t>
            </w:r>
            <w:r>
              <w:rPr>
                <w:b/>
              </w:rPr>
              <w:t>%</w:t>
            </w:r>
            <w:r>
              <w:rPr/>
              <w:t>.</w:t>
            </w:r>
          </w:p>
          <w:p>
            <w:pPr>
              <w:pStyle w:val="Normal1"/>
              <w:numPr>
                <w:ilvl w:val="0"/>
                <w:numId w:val="4"/>
              </w:numPr>
              <w:spacing w:lineRule="auto" w:line="240" w:before="0" w:after="200"/>
              <w:ind w:left="720" w:hanging="360"/>
              <w:rPr/>
            </w:pPr>
            <w:r>
              <w:rPr/>
              <w:t>The PSR is constant for all Investors. However, the profit cap for each type of investor is different.</w:t>
            </w:r>
          </w:p>
          <w:p>
            <w:pPr>
              <w:pStyle w:val="Normal1"/>
              <w:numPr>
                <w:ilvl w:val="0"/>
                <w:numId w:val="4"/>
              </w:numPr>
              <w:spacing w:lineRule="auto" w:line="240" w:before="0" w:after="200"/>
              <w:ind w:left="720" w:hanging="360"/>
              <w:jc w:val="both"/>
              <w:rPr/>
            </w:pPr>
            <w:r>
              <w:rPr/>
              <w:t>The Company will charge a performance incentive fee of ____% of the Projected Gross Return (if any) on Investment. In the event that no returns are realised, the Company will not charge any incentive fee.</w:t>
            </w:r>
          </w:p>
          <w:p>
            <w:pPr>
              <w:pStyle w:val="Normal1"/>
              <w:numPr>
                <w:ilvl w:val="0"/>
                <w:numId w:val="4"/>
              </w:numPr>
              <w:spacing w:lineRule="auto" w:line="240" w:before="0" w:after="200"/>
              <w:ind w:left="720" w:hanging="360"/>
              <w:jc w:val="both"/>
              <w:rPr/>
            </w:pPr>
            <w:r>
              <w:rPr/>
              <w:t>The Company will charge a fixed fee of SGD 1.00 (One Singaporean Dollar) for the Wakalah services.</w:t>
            </w:r>
          </w:p>
          <w:p>
            <w:pPr>
              <w:pStyle w:val="Normal1"/>
              <w:numPr>
                <w:ilvl w:val="0"/>
                <w:numId w:val="4"/>
              </w:numPr>
              <w:spacing w:lineRule="auto" w:line="240" w:before="0" w:after="200"/>
              <w:ind w:left="720" w:hanging="360"/>
              <w:jc w:val="both"/>
              <w:rPr/>
            </w:pPr>
            <w:r>
              <w:rPr/>
              <w:t>The Company charges</w:t>
            </w:r>
            <w:r>
              <w:rPr/>
              <w:t xml:space="preserve"> </w:t>
            </w:r>
            <w:r>
              <w:rPr>
                <w:b/>
              </w:rPr>
              <w:t xml:space="preserve">2.91% </w:t>
            </w:r>
            <w:r>
              <w:rPr/>
              <w:t>of the Commitment Amount as service fees.</w:t>
            </w:r>
          </w:p>
          <w:p>
            <w:pPr>
              <w:pStyle w:val="Normal1"/>
              <w:numPr>
                <w:ilvl w:val="0"/>
                <w:numId w:val="2"/>
              </w:numPr>
              <w:spacing w:lineRule="auto" w:line="240" w:before="0" w:after="200"/>
              <w:ind w:left="1080" w:hanging="360"/>
              <w:jc w:val="both"/>
              <w:rPr/>
            </w:pPr>
            <w:r>
              <w:rPr/>
              <w:t>The services fees are an expense of the Project and will not reduce the capital contribution amount of the Investor in the Project. Thus, the Projected ROI will also be unaffected by this expense.</w:t>
            </w:r>
          </w:p>
        </w:tc>
      </w:tr>
      <w:tr>
        <w:trPr/>
        <w:tc>
          <w:tcPr>
            <w:tcW w:w="1035" w:type="dxa"/>
            <w:tcBorders>
              <w:top w:val="single" w:sz="4" w:space="0" w:color="000000"/>
              <w:left w:val="single" w:sz="4" w:space="0" w:color="000000"/>
              <w:bottom w:val="single" w:sz="4" w:space="0" w:color="000000"/>
              <w:right w:val="single" w:sz="4" w:space="0" w:color="000000"/>
            </w:tcBorders>
            <w:shd w:fill="auto" w:val="clear"/>
          </w:tcPr>
          <w:p>
            <w:pPr>
              <w:pStyle w:val="Normal1"/>
              <w:spacing w:lineRule="auto" w:line="276" w:before="0" w:after="200"/>
              <w:jc w:val="both"/>
              <w:rPr>
                <w:b/>
                <w:b/>
              </w:rPr>
            </w:pPr>
            <w:r>
              <w:rPr>
                <w:b/>
              </w:rPr>
              <w:t>6.</w:t>
            </w:r>
          </w:p>
        </w:tc>
        <w:tc>
          <w:tcPr>
            <w:tcW w:w="2325" w:type="dxa"/>
            <w:tcBorders>
              <w:top w:val="single" w:sz="4" w:space="0" w:color="000000"/>
              <w:left w:val="single" w:sz="4" w:space="0" w:color="000000"/>
              <w:bottom w:val="single" w:sz="4" w:space="0" w:color="000000"/>
              <w:right w:val="single" w:sz="4" w:space="0" w:color="000000"/>
            </w:tcBorders>
            <w:shd w:fill="auto" w:val="clear"/>
          </w:tcPr>
          <w:p>
            <w:pPr>
              <w:pStyle w:val="Normal1"/>
              <w:spacing w:lineRule="auto" w:line="276" w:before="0" w:after="200"/>
              <w:jc w:val="both"/>
              <w:rPr>
                <w:b/>
                <w:b/>
              </w:rPr>
            </w:pPr>
            <w:r>
              <w:rPr>
                <w:b/>
              </w:rPr>
              <w:t>Projected Net Return On Investment (ROI)</w:t>
            </w:r>
          </w:p>
        </w:tc>
        <w:tc>
          <w:tcPr>
            <w:tcW w:w="5970" w:type="dxa"/>
            <w:tcBorders>
              <w:top w:val="single" w:sz="4" w:space="0" w:color="000000"/>
              <w:left w:val="single" w:sz="4" w:space="0" w:color="000000"/>
              <w:bottom w:val="single" w:sz="4" w:space="0" w:color="000000"/>
              <w:right w:val="single" w:sz="4" w:space="0" w:color="000000"/>
            </w:tcBorders>
            <w:shd w:fill="auto" w:val="clear"/>
            <w:tcMar>
              <w:top w:w="144" w:type="dxa"/>
              <w:left w:w="144" w:type="dxa"/>
              <w:bottom w:w="144" w:type="dxa"/>
              <w:right w:w="144" w:type="dxa"/>
            </w:tcMar>
          </w:tcPr>
          <w:p>
            <w:pPr>
              <w:pStyle w:val="Normal1"/>
              <w:spacing w:lineRule="auto" w:line="276" w:before="0" w:after="0"/>
              <w:jc w:val="both"/>
              <w:rPr/>
            </w:pPr>
            <w:r>
              <w:rPr/>
              <w:t xml:space="preserve">The Net ROI for the Investor under this Agreement is calculated by the Projected Gross Return on Investment under </w:t>
            </w:r>
            <w:r>
              <w:rPr>
                <w:b/>
              </w:rPr>
              <w:t>clause “a” of section 5 of this Appendix</w:t>
            </w:r>
            <w:r>
              <w:rPr/>
              <w:t xml:space="preserve"> minus the performance incentive fee under </w:t>
            </w:r>
            <w:r>
              <w:rPr>
                <w:b/>
              </w:rPr>
              <w:t>clause “c” of section 5 of this Appendix.</w:t>
            </w:r>
          </w:p>
        </w:tc>
      </w:tr>
      <w:tr>
        <w:trPr>
          <w:trHeight w:val="1800" w:hRule="atLeast"/>
        </w:trPr>
        <w:tc>
          <w:tcPr>
            <w:tcW w:w="1035" w:type="dxa"/>
            <w:tcBorders>
              <w:top w:val="single" w:sz="4" w:space="0" w:color="000000"/>
              <w:left w:val="single" w:sz="4" w:space="0" w:color="000000"/>
              <w:bottom w:val="single" w:sz="4" w:space="0" w:color="000000"/>
              <w:right w:val="single" w:sz="4" w:space="0" w:color="000000"/>
            </w:tcBorders>
            <w:shd w:fill="auto" w:val="clear"/>
          </w:tcPr>
          <w:p>
            <w:pPr>
              <w:pStyle w:val="Normal1"/>
              <w:spacing w:lineRule="auto" w:line="276" w:before="0" w:after="200"/>
              <w:jc w:val="both"/>
              <w:rPr>
                <w:b/>
                <w:b/>
              </w:rPr>
            </w:pPr>
            <w:r>
              <w:rPr>
                <w:b/>
              </w:rPr>
              <w:t>7.</w:t>
            </w:r>
          </w:p>
        </w:tc>
        <w:tc>
          <w:tcPr>
            <w:tcW w:w="2325" w:type="dxa"/>
            <w:tcBorders>
              <w:top w:val="single" w:sz="4" w:space="0" w:color="000000"/>
              <w:left w:val="single" w:sz="4" w:space="0" w:color="000000"/>
              <w:bottom w:val="single" w:sz="4" w:space="0" w:color="000000"/>
              <w:right w:val="single" w:sz="4" w:space="0" w:color="000000"/>
            </w:tcBorders>
            <w:shd w:fill="auto" w:val="clear"/>
          </w:tcPr>
          <w:p>
            <w:pPr>
              <w:pStyle w:val="Normal1"/>
              <w:spacing w:lineRule="auto" w:line="276" w:before="0" w:after="200"/>
              <w:jc w:val="both"/>
              <w:rPr>
                <w:b/>
                <w:b/>
              </w:rPr>
            </w:pPr>
            <w:r>
              <w:rPr>
                <w:b/>
              </w:rPr>
              <w:t>Project Milestones</w:t>
            </w:r>
          </w:p>
        </w:tc>
        <w:tc>
          <w:tcPr>
            <w:tcW w:w="5970" w:type="dxa"/>
            <w:tcBorders>
              <w:top w:val="single" w:sz="4" w:space="0" w:color="000000"/>
              <w:left w:val="single" w:sz="4" w:space="0" w:color="000000"/>
              <w:bottom w:val="single" w:sz="4" w:space="0" w:color="000000"/>
              <w:right w:val="single" w:sz="4" w:space="0" w:color="000000"/>
            </w:tcBorders>
            <w:shd w:fill="auto" w:val="clear"/>
            <w:tcMar>
              <w:top w:w="144" w:type="dxa"/>
              <w:left w:w="144" w:type="dxa"/>
              <w:bottom w:w="144" w:type="dxa"/>
              <w:right w:w="144" w:type="dxa"/>
            </w:tcMar>
          </w:tcPr>
          <w:p>
            <w:pPr>
              <w:pStyle w:val="Normal1"/>
              <w:spacing w:lineRule="auto" w:line="276" w:before="0" w:after="200"/>
              <w:jc w:val="both"/>
              <w:rPr/>
            </w:pPr>
            <w:r>
              <w:rPr/>
              <w:t>The Project Milestones to be achieved, as set by the Issuer:</w:t>
            </w:r>
          </w:p>
          <w:p>
            <w:pPr>
              <w:pStyle w:val="Normal1"/>
              <w:widowControl w:val="false"/>
              <w:numPr>
                <w:ilvl w:val="0"/>
                <w:numId w:val="3"/>
              </w:numPr>
              <w:spacing w:lineRule="auto" w:line="276"/>
              <w:ind w:left="720" w:hanging="360"/>
              <w:rPr>
                <w:sz w:val="30"/>
                <w:szCs w:val="30"/>
              </w:rPr>
            </w:pPr>
            <w:r>
              <w:rPr/>
              <w:t>Purchase petrol directly from PT Pertamina Patra Niaga and sell it to recurring clients in East  Java, Bali and Nusa Tenggara.</w:t>
            </w:r>
            <w:r>
              <w:rPr/>
              <w:t xml:space="preserve">      </w:t>
            </w:r>
            <w:r>
              <w:rPr>
                <w:rFonts w:eastAsia="Montserrat" w:cs="Montserrat" w:ascii="Montserrat" w:hAnsi="Montserrat"/>
                <w:color w:val="464547"/>
                <w:sz w:val="14"/>
                <w:szCs w:val="14"/>
              </w:rPr>
              <w:t xml:space="preserve">                                                                                                                                                                                                                                                                                                                                                                                                                                                                                                                                                                                                                                                                                                                                                                                                                                                                                                                                                 </w:t>
            </w:r>
          </w:p>
        </w:tc>
      </w:tr>
      <w:tr>
        <w:trPr/>
        <w:tc>
          <w:tcPr>
            <w:tcW w:w="1035" w:type="dxa"/>
            <w:tcBorders>
              <w:top w:val="single" w:sz="4" w:space="0" w:color="000000"/>
              <w:left w:val="single" w:sz="4" w:space="0" w:color="000000"/>
              <w:bottom w:val="single" w:sz="4" w:space="0" w:color="000000"/>
              <w:right w:val="single" w:sz="4" w:space="0" w:color="000000"/>
            </w:tcBorders>
            <w:shd w:fill="auto" w:val="clear"/>
          </w:tcPr>
          <w:p>
            <w:pPr>
              <w:pStyle w:val="Normal1"/>
              <w:spacing w:lineRule="auto" w:line="276" w:before="0" w:after="200"/>
              <w:jc w:val="both"/>
              <w:rPr>
                <w:b/>
                <w:b/>
              </w:rPr>
            </w:pPr>
            <w:r>
              <w:rPr>
                <w:b/>
              </w:rPr>
              <w:t>8.</w:t>
            </w:r>
          </w:p>
        </w:tc>
        <w:tc>
          <w:tcPr>
            <w:tcW w:w="2325" w:type="dxa"/>
            <w:tcBorders>
              <w:top w:val="single" w:sz="4" w:space="0" w:color="000000"/>
              <w:left w:val="single" w:sz="4" w:space="0" w:color="000000"/>
              <w:bottom w:val="single" w:sz="4" w:space="0" w:color="000000"/>
              <w:right w:val="single" w:sz="4" w:space="0" w:color="000000"/>
            </w:tcBorders>
            <w:shd w:fill="auto" w:val="clear"/>
          </w:tcPr>
          <w:p>
            <w:pPr>
              <w:pStyle w:val="Normal1"/>
              <w:spacing w:lineRule="auto" w:line="276" w:before="0" w:after="200"/>
              <w:jc w:val="both"/>
              <w:rPr/>
            </w:pPr>
            <w:r>
              <w:rPr>
                <w:b/>
              </w:rPr>
              <w:t>Project Tenure</w:t>
            </w:r>
          </w:p>
        </w:tc>
        <w:tc>
          <w:tcPr>
            <w:tcW w:w="5970" w:type="dxa"/>
            <w:tcBorders>
              <w:top w:val="single" w:sz="4" w:space="0" w:color="000000"/>
              <w:left w:val="single" w:sz="4" w:space="0" w:color="000000"/>
              <w:bottom w:val="single" w:sz="4" w:space="0" w:color="000000"/>
              <w:right w:val="single" w:sz="4" w:space="0" w:color="000000"/>
            </w:tcBorders>
            <w:shd w:fill="auto" w:val="clear"/>
            <w:tcMar>
              <w:top w:w="144" w:type="dxa"/>
              <w:left w:w="144" w:type="dxa"/>
              <w:bottom w:w="144" w:type="dxa"/>
              <w:right w:w="144" w:type="dxa"/>
            </w:tcMar>
          </w:tcPr>
          <w:p>
            <w:pPr>
              <w:pStyle w:val="Normal1"/>
              <w:spacing w:lineRule="auto" w:line="276" w:before="0" w:after="0"/>
              <w:jc w:val="both"/>
              <w:rPr/>
            </w:pPr>
            <w:r>
              <w:rPr>
                <w:b/>
              </w:rPr>
              <w:t>Three (3)</w:t>
            </w:r>
            <w:r>
              <w:rPr>
                <w:b/>
              </w:rPr>
              <w:t xml:space="preserve"> </w:t>
            </w:r>
            <w:r>
              <w:rPr/>
              <w:t>months, commencing from the date of the first disbursement of the Commitment Amount to the Issuer. The Investor Group will be notified by email about the date of commencement.</w:t>
            </w:r>
          </w:p>
        </w:tc>
      </w:tr>
      <w:tr>
        <w:trPr/>
        <w:tc>
          <w:tcPr>
            <w:tcW w:w="1035" w:type="dxa"/>
            <w:tcBorders>
              <w:top w:val="single" w:sz="4" w:space="0" w:color="000000"/>
              <w:left w:val="single" w:sz="4" w:space="0" w:color="000000"/>
              <w:bottom w:val="single" w:sz="4" w:space="0" w:color="000000"/>
              <w:right w:val="single" w:sz="4" w:space="0" w:color="000000"/>
            </w:tcBorders>
            <w:shd w:fill="auto" w:val="clear"/>
          </w:tcPr>
          <w:p>
            <w:pPr>
              <w:pStyle w:val="Normal1"/>
              <w:pBdr/>
              <w:spacing w:lineRule="auto" w:line="276" w:before="0" w:after="200"/>
              <w:jc w:val="both"/>
              <w:rPr>
                <w:b/>
                <w:b/>
              </w:rPr>
            </w:pPr>
            <w:r>
              <w:rPr>
                <w:b/>
              </w:rPr>
              <w:t>9.</w:t>
            </w:r>
          </w:p>
        </w:tc>
        <w:tc>
          <w:tcPr>
            <w:tcW w:w="2325" w:type="dxa"/>
            <w:tcBorders>
              <w:top w:val="single" w:sz="4" w:space="0" w:color="000000"/>
              <w:left w:val="single" w:sz="4" w:space="0" w:color="000000"/>
              <w:bottom w:val="single" w:sz="4" w:space="0" w:color="000000"/>
              <w:right w:val="single" w:sz="4" w:space="0" w:color="000000"/>
            </w:tcBorders>
            <w:shd w:fill="auto" w:val="clear"/>
          </w:tcPr>
          <w:p>
            <w:pPr>
              <w:pStyle w:val="Normal1"/>
              <w:pBdr/>
              <w:spacing w:lineRule="auto" w:line="276" w:before="0" w:after="200"/>
              <w:jc w:val="both"/>
              <w:rPr>
                <w:b/>
                <w:b/>
              </w:rPr>
            </w:pPr>
            <w:r>
              <w:rPr>
                <w:b/>
              </w:rPr>
              <w:t>Capital Contribution Ratio</w:t>
            </w:r>
          </w:p>
        </w:tc>
        <w:tc>
          <w:tcPr>
            <w:tcW w:w="5970" w:type="dxa"/>
            <w:tcBorders>
              <w:top w:val="single" w:sz="4" w:space="0" w:color="000000"/>
              <w:left w:val="single" w:sz="4" w:space="0" w:color="000000"/>
              <w:bottom w:val="single" w:sz="4" w:space="0" w:color="000000"/>
              <w:right w:val="single" w:sz="4" w:space="0" w:color="000000"/>
            </w:tcBorders>
            <w:shd w:fill="auto" w:val="clear"/>
            <w:tcMar>
              <w:top w:w="144" w:type="dxa"/>
              <w:left w:w="144" w:type="dxa"/>
              <w:bottom w:w="144" w:type="dxa"/>
              <w:right w:w="144" w:type="dxa"/>
            </w:tcMar>
          </w:tcPr>
          <w:p>
            <w:pPr>
              <w:pStyle w:val="Normal1"/>
              <w:pBdr/>
              <w:spacing w:lineRule="auto" w:line="276" w:before="0" w:after="200"/>
              <w:jc w:val="both"/>
              <w:rPr/>
            </w:pPr>
            <w:r>
              <w:rPr/>
              <w:t xml:space="preserve">The amount contributed by each the Issuer and the Investor Group, in the Musharakah agreement is as follows: </w:t>
            </w:r>
          </w:p>
          <w:p>
            <w:pPr>
              <w:pStyle w:val="Normal1"/>
              <w:numPr>
                <w:ilvl w:val="0"/>
                <w:numId w:val="5"/>
              </w:numPr>
              <w:ind w:left="720" w:hanging="360"/>
              <w:jc w:val="both"/>
              <w:rPr/>
            </w:pPr>
            <w:r>
              <w:rPr/>
              <w:t>Investor Group:</w:t>
            </w:r>
            <w:r>
              <w:rPr>
                <w:b/>
              </w:rPr>
              <w:t xml:space="preserve"> 98.71%</w:t>
            </w:r>
          </w:p>
          <w:p>
            <w:pPr>
              <w:pStyle w:val="Normal1"/>
              <w:numPr>
                <w:ilvl w:val="0"/>
                <w:numId w:val="5"/>
              </w:numPr>
              <w:spacing w:lineRule="auto" w:line="240" w:before="0" w:after="200"/>
              <w:ind w:left="720" w:hanging="360"/>
              <w:jc w:val="both"/>
              <w:rPr/>
            </w:pPr>
            <w:r>
              <w:rPr/>
              <w:t xml:space="preserve">The Issuer: </w:t>
            </w:r>
            <w:r>
              <w:rPr>
                <w:b/>
              </w:rPr>
              <w:t>1.29%</w:t>
            </w:r>
          </w:p>
          <w:p>
            <w:pPr>
              <w:pStyle w:val="Normal1"/>
              <w:jc w:val="both"/>
              <w:rPr>
                <w:b/>
                <w:b/>
              </w:rPr>
            </w:pPr>
            <w:bookmarkStart w:id="6" w:name="_heading=h.1fob9te"/>
            <w:bookmarkEnd w:id="6"/>
            <w:r>
              <w:rPr/>
              <w:t>Total Capital Amount of the Project is</w:t>
            </w:r>
            <w:r>
              <w:rPr>
                <w:b/>
              </w:rPr>
              <w:t xml:space="preserve"> </w:t>
            </w:r>
            <w:r>
              <w:rPr>
                <w:b/>
              </w:rPr>
              <w:t>IDR 5,217,500,000.</w:t>
            </w:r>
          </w:p>
        </w:tc>
      </w:tr>
      <w:tr>
        <w:trPr>
          <w:trHeight w:val="3645" w:hRule="atLeast"/>
        </w:trPr>
        <w:tc>
          <w:tcPr>
            <w:tcW w:w="1035" w:type="dxa"/>
            <w:tcBorders>
              <w:top w:val="single" w:sz="4" w:space="0" w:color="000000"/>
              <w:left w:val="single" w:sz="4" w:space="0" w:color="000000"/>
              <w:bottom w:val="single" w:sz="4" w:space="0" w:color="000000"/>
              <w:right w:val="single" w:sz="4" w:space="0" w:color="000000"/>
            </w:tcBorders>
            <w:shd w:fill="auto" w:val="clear"/>
          </w:tcPr>
          <w:p>
            <w:pPr>
              <w:pStyle w:val="Normal1"/>
              <w:pBdr/>
              <w:spacing w:lineRule="auto" w:line="276" w:before="0" w:after="200"/>
              <w:jc w:val="both"/>
              <w:rPr>
                <w:b/>
                <w:b/>
              </w:rPr>
            </w:pPr>
            <w:r>
              <w:rPr>
                <w:b/>
              </w:rPr>
              <w:t>10.</w:t>
            </w:r>
          </w:p>
        </w:tc>
        <w:tc>
          <w:tcPr>
            <w:tcW w:w="2325" w:type="dxa"/>
            <w:tcBorders>
              <w:top w:val="single" w:sz="4" w:space="0" w:color="000000"/>
              <w:left w:val="single" w:sz="4" w:space="0" w:color="000000"/>
              <w:bottom w:val="single" w:sz="4" w:space="0" w:color="000000"/>
              <w:right w:val="single" w:sz="4" w:space="0" w:color="000000"/>
            </w:tcBorders>
            <w:shd w:fill="auto" w:val="clear"/>
          </w:tcPr>
          <w:p>
            <w:pPr>
              <w:pStyle w:val="Normal1"/>
              <w:pBdr/>
              <w:spacing w:lineRule="auto" w:line="276" w:before="0" w:after="200"/>
              <w:jc w:val="both"/>
              <w:rPr>
                <w:b/>
                <w:b/>
              </w:rPr>
            </w:pPr>
            <w:r>
              <w:rPr>
                <w:b/>
              </w:rPr>
              <w:t>Profit-Sharing Ratio (PSR)</w:t>
            </w:r>
          </w:p>
        </w:tc>
        <w:tc>
          <w:tcPr>
            <w:tcW w:w="5970" w:type="dxa"/>
            <w:tcBorders>
              <w:top w:val="single" w:sz="4" w:space="0" w:color="000000"/>
              <w:left w:val="single" w:sz="4" w:space="0" w:color="000000"/>
              <w:bottom w:val="single" w:sz="4" w:space="0" w:color="000000"/>
              <w:right w:val="single" w:sz="4" w:space="0" w:color="000000"/>
            </w:tcBorders>
            <w:shd w:fill="auto" w:val="clear"/>
            <w:tcMar>
              <w:top w:w="144" w:type="dxa"/>
              <w:left w:w="144" w:type="dxa"/>
              <w:bottom w:w="144" w:type="dxa"/>
              <w:right w:w="144" w:type="dxa"/>
            </w:tcMar>
          </w:tcPr>
          <w:p>
            <w:pPr>
              <w:pStyle w:val="Normal1"/>
              <w:pBdr/>
              <w:spacing w:lineRule="auto" w:line="276" w:before="0" w:after="200"/>
              <w:jc w:val="both"/>
              <w:rPr/>
            </w:pPr>
            <w:r>
              <w:rPr/>
              <w:t>The Company hereby agrees to share the Musharakah Profit with the Investor Group, depending on the actual amount of Musharakah Profit received by the Company, as follows:</w:t>
            </w:r>
          </w:p>
          <w:p>
            <w:pPr>
              <w:pStyle w:val="Normal1"/>
              <w:numPr>
                <w:ilvl w:val="0"/>
                <w:numId w:val="8"/>
              </w:numPr>
              <w:ind w:left="720" w:hanging="360"/>
              <w:jc w:val="both"/>
              <w:rPr/>
            </w:pPr>
            <w:r>
              <w:rPr/>
              <w:t xml:space="preserve">Investor Group: </w:t>
            </w:r>
            <w:r>
              <w:rPr>
                <w:b/>
              </w:rPr>
              <w:t>30.04%</w:t>
            </w:r>
          </w:p>
          <w:p>
            <w:pPr>
              <w:pStyle w:val="Normal1"/>
              <w:numPr>
                <w:ilvl w:val="0"/>
                <w:numId w:val="8"/>
              </w:numPr>
              <w:spacing w:lineRule="auto" w:line="240" w:before="0" w:after="200"/>
              <w:ind w:left="720" w:hanging="360"/>
              <w:jc w:val="both"/>
              <w:rPr/>
            </w:pPr>
            <w:r>
              <w:rPr/>
              <w:t xml:space="preserve">The Issuer: </w:t>
            </w:r>
            <w:r>
              <w:rPr>
                <w:b/>
              </w:rPr>
              <w:t>69.96%</w:t>
            </w:r>
          </w:p>
          <w:p>
            <w:pPr>
              <w:pStyle w:val="Normal1"/>
              <w:jc w:val="both"/>
              <w:rPr/>
            </w:pPr>
            <w:r>
              <w:rPr/>
              <w:t xml:space="preserve">The total amount of Musharakah Profit shared with the Investor Group is capped at </w:t>
            </w:r>
            <w:r>
              <w:rPr>
                <w:b/>
              </w:rPr>
              <w:t>5.25</w:t>
            </w:r>
            <w:r>
              <w:rPr>
                <w:b/>
              </w:rPr>
              <w:t>%</w:t>
            </w:r>
            <w:r>
              <w:rPr/>
              <w:t xml:space="preserve"> ROI in the Musharakah. Any amount exceeding this will solely belong to the Issuer.</w:t>
            </w:r>
          </w:p>
        </w:tc>
      </w:tr>
      <w:tr>
        <w:trPr/>
        <w:tc>
          <w:tcPr>
            <w:tcW w:w="1035" w:type="dxa"/>
            <w:tcBorders>
              <w:top w:val="single" w:sz="4" w:space="0" w:color="000000"/>
              <w:left w:val="single" w:sz="4" w:space="0" w:color="000000"/>
              <w:bottom w:val="single" w:sz="4" w:space="0" w:color="000000"/>
              <w:right w:val="single" w:sz="4" w:space="0" w:color="000000"/>
            </w:tcBorders>
            <w:shd w:fill="auto" w:val="clear"/>
          </w:tcPr>
          <w:p>
            <w:pPr>
              <w:pStyle w:val="Normal1"/>
              <w:pBdr/>
              <w:spacing w:lineRule="auto" w:line="276" w:before="0" w:after="200"/>
              <w:jc w:val="both"/>
              <w:rPr>
                <w:b/>
                <w:b/>
              </w:rPr>
            </w:pPr>
            <w:r>
              <w:rPr>
                <w:b/>
              </w:rPr>
              <w:t>11.</w:t>
            </w:r>
          </w:p>
        </w:tc>
        <w:tc>
          <w:tcPr>
            <w:tcW w:w="2325" w:type="dxa"/>
            <w:tcBorders>
              <w:top w:val="single" w:sz="4" w:space="0" w:color="000000"/>
              <w:left w:val="single" w:sz="4" w:space="0" w:color="000000"/>
              <w:bottom w:val="single" w:sz="4" w:space="0" w:color="000000"/>
              <w:right w:val="single" w:sz="4" w:space="0" w:color="000000"/>
            </w:tcBorders>
            <w:shd w:fill="auto" w:val="clear"/>
          </w:tcPr>
          <w:p>
            <w:pPr>
              <w:pStyle w:val="Normal1"/>
              <w:pBdr/>
              <w:spacing w:lineRule="auto" w:line="276" w:before="0" w:after="200"/>
              <w:jc w:val="both"/>
              <w:rPr>
                <w:b/>
                <w:b/>
              </w:rPr>
            </w:pPr>
            <w:r>
              <w:rPr>
                <w:b/>
              </w:rPr>
              <w:t>Joint Investment Option</w:t>
            </w:r>
          </w:p>
        </w:tc>
        <w:tc>
          <w:tcPr>
            <w:tcW w:w="5970" w:type="dxa"/>
            <w:tcBorders>
              <w:top w:val="single" w:sz="4" w:space="0" w:color="000000"/>
              <w:left w:val="single" w:sz="4" w:space="0" w:color="000000"/>
              <w:bottom w:val="single" w:sz="4" w:space="0" w:color="000000"/>
              <w:right w:val="single" w:sz="4" w:space="0" w:color="000000"/>
            </w:tcBorders>
            <w:shd w:fill="auto" w:val="clear"/>
            <w:tcMar>
              <w:top w:w="144" w:type="dxa"/>
              <w:left w:w="144" w:type="dxa"/>
              <w:bottom w:w="144" w:type="dxa"/>
              <w:right w:w="144" w:type="dxa"/>
            </w:tcMar>
          </w:tcPr>
          <w:p>
            <w:pPr>
              <w:pStyle w:val="Normal1"/>
              <w:pBdr/>
              <w:spacing w:lineRule="auto" w:line="276" w:before="0" w:after="200"/>
              <w:jc w:val="both"/>
              <w:rPr/>
            </w:pPr>
            <w:r>
              <w:rPr/>
              <w:t>Jointly with (if applicable)</w:t>
            </w:r>
          </w:p>
          <w:p>
            <w:pPr>
              <w:pStyle w:val="Normal1"/>
              <w:spacing w:lineRule="auto" w:line="240" w:before="0" w:after="200"/>
              <w:jc w:val="both"/>
              <w:rPr/>
            </w:pPr>
            <w:r>
              <w:rPr/>
              <w:t>Name: __________________________</w:t>
            </w:r>
          </w:p>
          <w:p>
            <w:pPr>
              <w:pStyle w:val="Normal1"/>
              <w:spacing w:lineRule="auto" w:line="240" w:before="0" w:after="200"/>
              <w:jc w:val="both"/>
              <w:rPr/>
            </w:pPr>
            <w:r>
              <w:rPr/>
              <w:t>Passport/ID No.: ________________</w:t>
            </w:r>
          </w:p>
          <w:p>
            <w:pPr>
              <w:pStyle w:val="Normal1"/>
              <w:spacing w:lineRule="auto" w:line="240" w:before="0" w:after="200"/>
              <w:jc w:val="both"/>
              <w:rPr/>
            </w:pPr>
            <w:r>
              <w:rPr/>
              <w:t>Country of Passport/ID: _____________</w:t>
            </w:r>
          </w:p>
        </w:tc>
      </w:tr>
      <w:tr>
        <w:trPr/>
        <w:tc>
          <w:tcPr>
            <w:tcW w:w="1035" w:type="dxa"/>
            <w:tcBorders>
              <w:top w:val="single" w:sz="4" w:space="0" w:color="000000"/>
              <w:left w:val="single" w:sz="4" w:space="0" w:color="000000"/>
              <w:bottom w:val="single" w:sz="4" w:space="0" w:color="000000"/>
              <w:right w:val="single" w:sz="4" w:space="0" w:color="000000"/>
            </w:tcBorders>
            <w:shd w:fill="auto" w:val="clear"/>
          </w:tcPr>
          <w:p>
            <w:pPr>
              <w:pStyle w:val="Normal1"/>
              <w:pBdr/>
              <w:spacing w:lineRule="auto" w:line="276" w:before="0" w:after="200"/>
              <w:jc w:val="both"/>
              <w:rPr>
                <w:b/>
                <w:b/>
              </w:rPr>
            </w:pPr>
            <w:r>
              <w:rPr>
                <w:b/>
              </w:rPr>
              <w:t>12.</w:t>
            </w:r>
          </w:p>
        </w:tc>
        <w:tc>
          <w:tcPr>
            <w:tcW w:w="2325" w:type="dxa"/>
            <w:tcBorders>
              <w:top w:val="single" w:sz="4" w:space="0" w:color="000000"/>
              <w:left w:val="single" w:sz="4" w:space="0" w:color="000000"/>
              <w:bottom w:val="single" w:sz="4" w:space="0" w:color="000000"/>
              <w:right w:val="single" w:sz="4" w:space="0" w:color="000000"/>
            </w:tcBorders>
            <w:shd w:fill="auto" w:val="clear"/>
          </w:tcPr>
          <w:p>
            <w:pPr>
              <w:pStyle w:val="Normal1"/>
              <w:pBdr/>
              <w:spacing w:lineRule="auto" w:line="276" w:before="0" w:after="200"/>
              <w:jc w:val="both"/>
              <w:rPr>
                <w:b/>
                <w:b/>
              </w:rPr>
            </w:pPr>
            <w:r>
              <w:rPr>
                <w:b/>
              </w:rPr>
              <w:t>Nominee</w:t>
            </w:r>
          </w:p>
        </w:tc>
        <w:tc>
          <w:tcPr>
            <w:tcW w:w="5970" w:type="dxa"/>
            <w:tcBorders>
              <w:top w:val="single" w:sz="4" w:space="0" w:color="000000"/>
              <w:left w:val="single" w:sz="4" w:space="0" w:color="000000"/>
              <w:bottom w:val="single" w:sz="4" w:space="0" w:color="000000"/>
              <w:right w:val="single" w:sz="4" w:space="0" w:color="000000"/>
            </w:tcBorders>
            <w:shd w:fill="auto" w:val="clear"/>
            <w:tcMar>
              <w:top w:w="144" w:type="dxa"/>
              <w:left w:w="144" w:type="dxa"/>
              <w:bottom w:w="144" w:type="dxa"/>
              <w:right w:w="144" w:type="dxa"/>
            </w:tcMar>
          </w:tcPr>
          <w:p>
            <w:pPr>
              <w:pStyle w:val="Normal1"/>
              <w:pBdr/>
              <w:spacing w:lineRule="auto" w:line="276" w:before="0" w:after="200"/>
              <w:jc w:val="both"/>
              <w:rPr/>
            </w:pPr>
            <w:r>
              <w:rPr/>
              <w:t>Name: _______________________</w:t>
            </w:r>
          </w:p>
          <w:p>
            <w:pPr>
              <w:pStyle w:val="Normal1"/>
              <w:pBdr/>
              <w:spacing w:lineRule="auto" w:line="276" w:before="0" w:after="200"/>
              <w:jc w:val="both"/>
              <w:rPr/>
            </w:pPr>
            <w:r>
              <w:rPr/>
              <w:t>Passport/ID No: ______________</w:t>
            </w:r>
          </w:p>
          <w:p>
            <w:pPr>
              <w:pStyle w:val="Normal1"/>
              <w:pBdr/>
              <w:spacing w:lineRule="auto" w:line="276" w:before="0" w:after="200"/>
              <w:jc w:val="both"/>
              <w:rPr/>
            </w:pPr>
            <w:r>
              <w:rPr/>
              <w:t>Contact No: _________________</w:t>
            </w:r>
          </w:p>
          <w:p>
            <w:pPr>
              <w:pStyle w:val="Normal1"/>
              <w:pBdr/>
              <w:spacing w:lineRule="auto" w:line="276" w:before="0" w:after="200"/>
              <w:jc w:val="both"/>
              <w:rPr/>
            </w:pPr>
            <w:r>
              <w:rPr/>
              <w:t>Relationship: ________________</w:t>
            </w:r>
          </w:p>
          <w:p>
            <w:pPr>
              <w:pStyle w:val="Normal1"/>
              <w:spacing w:lineRule="auto" w:line="240" w:before="0" w:after="200"/>
              <w:jc w:val="both"/>
              <w:rPr/>
            </w:pPr>
            <w:r>
              <w:rPr/>
              <w:t xml:space="preserve">The Investor hereby authorises the Company to transfer the payouts entitled under the Agreement (if any) to the Nominee in the event of the death of the Investor in accordance with the terms and conditions of this Agreement. </w:t>
            </w:r>
          </w:p>
          <w:p>
            <w:pPr>
              <w:pStyle w:val="Normal1"/>
              <w:jc w:val="both"/>
              <w:rPr/>
            </w:pPr>
            <w:r>
              <w:rPr/>
              <w:t>The Company is duly discharged from all liabilities upon payment of the entitled payouts (if any) to the Nominee.</w:t>
            </w:r>
          </w:p>
        </w:tc>
      </w:tr>
    </w:tbl>
    <w:p>
      <w:pPr>
        <w:pStyle w:val="Normal1"/>
        <w:spacing w:lineRule="auto" w:line="276" w:before="0" w:after="160"/>
        <w:jc w:val="both"/>
        <w:rPr/>
      </w:pPr>
      <w:r>
        <w:rPr/>
      </w:r>
    </w:p>
    <w:p>
      <w:pPr>
        <w:pStyle w:val="Normal1"/>
        <w:spacing w:lineRule="auto" w:line="276" w:before="0" w:after="160"/>
        <w:jc w:val="both"/>
        <w:rPr/>
      </w:pPr>
      <w:r>
        <w:rPr/>
      </w:r>
    </w:p>
    <w:sectPr>
      <w:headerReference w:type="default" r:id="rId2"/>
      <w:footerReference w:type="default" r:id="rId3"/>
      <w:type w:val="nextPage"/>
      <w:pgSz w:w="12240" w:h="15840"/>
      <w:pgMar w:left="1440" w:right="1440" w:header="0" w:top="1440"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Montserrat">
    <w:charset w:val="00"/>
    <w:family w:val="roman"/>
    <w:pitch w:val="variable"/>
  </w:font>
  <w:font w:name="Arial">
    <w:charset w:val="01"/>
    <w:family w:val="swiss"/>
    <w:pitch w:val="variable"/>
  </w:font>
  <w:font w:name="Courier New">
    <w:charset w:val="01"/>
    <w:family w:val="modern"/>
    <w:pitch w:val="fixed"/>
  </w:font>
  <w:font w:name="Noto Sans Symbols">
    <w:charset w:val="01"/>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pBdr/>
      <w:tabs>
        <w:tab w:val="clear" w:pos="720"/>
        <w:tab w:val="center" w:pos="4320" w:leader="none"/>
        <w:tab w:val="right" w:pos="8640" w:leader="none"/>
      </w:tabs>
      <w:spacing w:lineRule="auto" w:line="240"/>
      <w:jc w:val="center"/>
      <w:rPr/>
    </w:pPr>
    <w:r>
      <w:rPr/>
      <w:t xml:space="preserve">Page </w:t>
    </w:r>
    <w:r>
      <w:rPr/>
      <w:fldChar w:fldCharType="begin"/>
    </w:r>
    <w:r>
      <w:rPr/>
      <w:instrText> PAGE </w:instrText>
    </w:r>
    <w:r>
      <w:rPr/>
      <w:fldChar w:fldCharType="separate"/>
    </w:r>
    <w:r>
      <w:rPr/>
      <w:t>14</w:t>
    </w:r>
    <w:r>
      <w:rPr/>
      <w:fldChar w:fldCharType="end"/>
    </w:r>
    <w:r>
      <w:rPr/>
      <w:t xml:space="preserve"> of </w:t>
    </w:r>
    <w:r>
      <w:rPr/>
      <w:fldChar w:fldCharType="begin"/>
    </w:r>
    <w:r>
      <w:rPr/>
      <w:instrText> NUMPAGES </w:instrText>
    </w:r>
    <w:r>
      <w:rPr/>
      <w:fldChar w:fldCharType="separate"/>
    </w:r>
    <w:r>
      <w:rPr/>
      <w:t>14</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pBdr/>
      <w:tabs>
        <w:tab w:val="clear" w:pos="720"/>
        <w:tab w:val="center" w:pos="4320" w:leader="none"/>
        <w:tab w:val="right" w:pos="8640" w:leader="none"/>
      </w:tabs>
      <w:spacing w:lineRule="auto" w:line="240"/>
      <w:rPr>
        <w:color w:val="000000"/>
      </w:rPr>
    </w:pPr>
    <w:r>
      <w:rPr>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right"/>
      <w:pPr>
        <w:ind w:left="720" w:hanging="360"/>
      </w:pPr>
      <w:rPr>
        <w:u w:val="none"/>
        <w:b/>
      </w:rPr>
    </w:lvl>
    <w:lvl w:ilvl="1">
      <w:start w:val="1"/>
      <w:numFmt w:val="decimal"/>
      <w:lvlText w:val="%1.%2."/>
      <w:lvlJc w:val="right"/>
      <w:pPr>
        <w:ind w:left="1440" w:hanging="360"/>
      </w:pPr>
      <w:rPr>
        <w:u w:val="none"/>
        <w:b w:val="fals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2"/>
      <w:numFmt w:val="bullet"/>
      <w:lvlText w:val="-"/>
      <w:lvlJc w:val="left"/>
      <w:pPr>
        <w:ind w:left="1080" w:hanging="360"/>
      </w:pPr>
      <w:rPr>
        <w:rFonts w:ascii="Arial" w:hAnsi="Arial" w:cs="Arial" w:hint="default"/>
        <w:rFonts w:cs="Aria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Noto Sans Symbols" w:hAnsi="Noto Sans Symbols" w:cs="Noto Sans Symbols" w:hint="default"/>
        <w:rFonts w:cs="Noto Sans Symbols"/>
      </w:rPr>
    </w:lvl>
    <w:lvl w:ilvl="3">
      <w:start w:val="1"/>
      <w:numFmt w:val="bullet"/>
      <w:lvlText w:val="●"/>
      <w:lvlJc w:val="left"/>
      <w:pPr>
        <w:ind w:left="3240" w:hanging="360"/>
      </w:pPr>
      <w:rPr>
        <w:rFonts w:ascii="Noto Sans Symbols" w:hAnsi="Noto Sans Symbols" w:cs="Noto Sans Symbols" w:hint="default"/>
        <w:rFonts w:cs="Noto Sans Symbols"/>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Noto Sans Symbols" w:hAnsi="Noto Sans Symbols" w:cs="Noto Sans Symbols" w:hint="default"/>
        <w:rFonts w:cs="Noto Sans Symbols"/>
      </w:rPr>
    </w:lvl>
    <w:lvl w:ilvl="6">
      <w:start w:val="1"/>
      <w:numFmt w:val="bullet"/>
      <w:lvlText w:val="●"/>
      <w:lvlJc w:val="left"/>
      <w:pPr>
        <w:ind w:left="5400" w:hanging="360"/>
      </w:pPr>
      <w:rPr>
        <w:rFonts w:ascii="Noto Sans Symbols" w:hAnsi="Noto Sans Symbols" w:cs="Noto Sans Symbols" w:hint="default"/>
        <w:rFonts w:cs="Noto Sans Symbols"/>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Noto Sans Symbols" w:hAnsi="Noto Sans Symbols" w:cs="Noto Sans Symbols" w:hint="default"/>
        <w:rFonts w:cs="Noto Sans Symbols"/>
      </w:rPr>
    </w:lvl>
  </w:abstractNum>
  <w:abstractNum w:abstractNumId="3">
    <w:lvl w:ilvl="0">
      <w:start w:val="1"/>
      <w:numFmt w:val="bullet"/>
      <w:lvlText w:val="-"/>
      <w:lvlJc w:val="left"/>
      <w:pPr>
        <w:ind w:left="720" w:hanging="360"/>
      </w:pPr>
      <w:rPr>
        <w:rFonts w:ascii="OpenSymbol" w:hAnsi="OpenSymbol" w:cs="OpenSymbol" w:hint="default"/>
        <w:sz w:val="30"/>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6">
    <w:lvl w:ilvl="0">
      <w:start w:val="1"/>
      <w:numFmt w:val="decimal"/>
      <w:lvlText w:val="%1."/>
      <w:lvlJc w:val="left"/>
      <w:pPr>
        <w:ind w:left="720" w:hanging="360"/>
      </w:pPr>
      <w:rPr>
        <w:u w:val="none"/>
        <w:b/>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pPrDefault>
  </w:docDefaults>
  <w:style w:type="paragraph" w:styleId="Normal" w:default="1">
    <w:name w:val="Normal"/>
    <w:qFormat/>
    <w:pPr>
      <w:widowControl/>
      <w:bidi w:val="0"/>
      <w:spacing w:lineRule="auto" w:line="276"/>
      <w:jc w:val="left"/>
    </w:pPr>
    <w:rPr>
      <w:rFonts w:ascii="Arial" w:hAnsi="Arial" w:eastAsia="Arial" w:cs="Arial"/>
      <w:color w:val="auto"/>
      <w:kern w:val="0"/>
      <w:sz w:val="22"/>
      <w:szCs w:val="22"/>
      <w:lang w:val="en" w:eastAsia="zh-CN" w:bidi="hi-IN"/>
    </w:rPr>
  </w:style>
  <w:style w:type="paragraph" w:styleId="Heading1">
    <w:name w:val="Heading 1"/>
    <w:basedOn w:val="Normal1"/>
    <w:next w:val="Normal1"/>
    <w:qFormat/>
    <w:pPr>
      <w:keepNext w:val="true"/>
      <w:keepLines/>
      <w:spacing w:before="400" w:after="120"/>
      <w:outlineLvl w:val="0"/>
    </w:pPr>
    <w:rPr>
      <w:sz w:val="40"/>
      <w:szCs w:val="40"/>
    </w:rPr>
  </w:style>
  <w:style w:type="paragraph" w:styleId="Heading2">
    <w:name w:val="Heading 2"/>
    <w:basedOn w:val="Normal1"/>
    <w:next w:val="Normal1"/>
    <w:qFormat/>
    <w:pPr>
      <w:keepNext w:val="true"/>
      <w:keepLines/>
      <w:spacing w:before="360" w:after="120"/>
      <w:outlineLvl w:val="1"/>
    </w:pPr>
    <w:rPr>
      <w:sz w:val="32"/>
      <w:szCs w:val="32"/>
    </w:rPr>
  </w:style>
  <w:style w:type="paragraph" w:styleId="Heading3">
    <w:name w:val="Heading 3"/>
    <w:basedOn w:val="Normal1"/>
    <w:next w:val="Normal1"/>
    <w:qFormat/>
    <w:pPr>
      <w:keepNext w:val="true"/>
      <w:keepLines/>
      <w:spacing w:before="320" w:after="80"/>
      <w:outlineLvl w:val="2"/>
    </w:pPr>
    <w:rPr>
      <w:color w:val="434343"/>
      <w:sz w:val="28"/>
      <w:szCs w:val="28"/>
    </w:rPr>
  </w:style>
  <w:style w:type="paragraph" w:styleId="Heading4">
    <w:name w:val="Heading 4"/>
    <w:basedOn w:val="Normal1"/>
    <w:next w:val="Normal1"/>
    <w:qFormat/>
    <w:pPr>
      <w:keepNext w:val="true"/>
      <w:keepLines/>
      <w:spacing w:before="280" w:after="80"/>
      <w:outlineLvl w:val="3"/>
    </w:pPr>
    <w:rPr>
      <w:color w:val="666666"/>
      <w:sz w:val="24"/>
      <w:szCs w:val="24"/>
    </w:rPr>
  </w:style>
  <w:style w:type="paragraph" w:styleId="Heading5">
    <w:name w:val="Heading 5"/>
    <w:basedOn w:val="Normal1"/>
    <w:next w:val="Normal1"/>
    <w:qFormat/>
    <w:pPr>
      <w:keepNext w:val="true"/>
      <w:keepLines/>
      <w:spacing w:before="240" w:after="80"/>
      <w:outlineLvl w:val="4"/>
    </w:pPr>
    <w:rPr>
      <w:color w:val="666666"/>
    </w:rPr>
  </w:style>
  <w:style w:type="paragraph" w:styleId="Heading6">
    <w:name w:val="Heading 6"/>
    <w:basedOn w:val="Normal1"/>
    <w:next w:val="Normal1"/>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CommentTextChar" w:customStyle="1">
    <w:name w:val="Comment Text Char"/>
    <w:basedOn w:val="DefaultParagraphFont"/>
    <w:link w:val="CommentText"/>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character" w:styleId="BalloonTextChar" w:customStyle="1">
    <w:name w:val="Balloon Text Char"/>
    <w:basedOn w:val="DefaultParagraphFont"/>
    <w:link w:val="BalloonText"/>
    <w:uiPriority w:val="99"/>
    <w:semiHidden/>
    <w:qFormat/>
    <w:rsid w:val="00d7352e"/>
    <w:rPr>
      <w:rFonts w:ascii="Segoe UI" w:hAnsi="Segoe UI" w:cs="Segoe UI"/>
      <w:sz w:val="18"/>
      <w:szCs w:val="18"/>
    </w:rPr>
  </w:style>
  <w:style w:type="character" w:styleId="ListLabel1">
    <w:name w:val="ListLabel 1"/>
    <w:qFormat/>
    <w:rPr>
      <w:b/>
      <w:u w:val="none"/>
    </w:rPr>
  </w:style>
  <w:style w:type="character" w:styleId="ListLabel2">
    <w:name w:val="ListLabel 2"/>
    <w:qFormat/>
    <w:rPr>
      <w:b w:val="false"/>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eastAsia="Arial" w:cs="Arial"/>
    </w:rPr>
  </w:style>
  <w:style w:type="character" w:styleId="ListLabel11">
    <w:name w:val="ListLabel 11"/>
    <w:qFormat/>
    <w:rPr>
      <w:rFonts w:eastAsia="Courier New" w:cs="Courier New"/>
    </w:rPr>
  </w:style>
  <w:style w:type="character" w:styleId="ListLabel12">
    <w:name w:val="ListLabel 12"/>
    <w:qFormat/>
    <w:rPr>
      <w:rFonts w:eastAsia="Noto Sans Symbols" w:cs="Noto Sans Symbols"/>
    </w:rPr>
  </w:style>
  <w:style w:type="character" w:styleId="ListLabel13">
    <w:name w:val="ListLabel 13"/>
    <w:qFormat/>
    <w:rPr>
      <w:rFonts w:eastAsia="Noto Sans Symbols" w:cs="Noto Sans Symbols"/>
    </w:rPr>
  </w:style>
  <w:style w:type="character" w:styleId="ListLabel14">
    <w:name w:val="ListLabel 14"/>
    <w:qFormat/>
    <w:rPr>
      <w:rFonts w:eastAsia="Courier New" w:cs="Courier New"/>
    </w:rPr>
  </w:style>
  <w:style w:type="character" w:styleId="ListLabel15">
    <w:name w:val="ListLabel 15"/>
    <w:qFormat/>
    <w:rPr>
      <w:rFonts w:eastAsia="Noto Sans Symbols" w:cs="Noto Sans Symbols"/>
    </w:rPr>
  </w:style>
  <w:style w:type="character" w:styleId="ListLabel16">
    <w:name w:val="ListLabel 16"/>
    <w:qFormat/>
    <w:rPr>
      <w:rFonts w:eastAsia="Noto Sans Symbols" w:cs="Noto Sans Symbols"/>
    </w:rPr>
  </w:style>
  <w:style w:type="character" w:styleId="ListLabel17">
    <w:name w:val="ListLabel 17"/>
    <w:qFormat/>
    <w:rPr>
      <w:rFonts w:eastAsia="Courier New" w:cs="Courier New"/>
    </w:rPr>
  </w:style>
  <w:style w:type="character" w:styleId="ListLabel18">
    <w:name w:val="ListLabel 18"/>
    <w:qFormat/>
    <w:rPr>
      <w:rFonts w:eastAsia="Noto Sans Symbols" w:cs="Noto Sans Symbols"/>
    </w:rPr>
  </w:style>
  <w:style w:type="character" w:styleId="ListLabel19">
    <w:name w:val="ListLabel 19"/>
    <w:qFormat/>
    <w:rPr>
      <w:sz w:val="30"/>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u w:val="none"/>
    </w:rPr>
  </w:style>
  <w:style w:type="character" w:styleId="ListLabel38">
    <w:name w:val="ListLabel 38"/>
    <w:qFormat/>
    <w:rPr>
      <w:u w:val="none"/>
    </w:rPr>
  </w:style>
  <w:style w:type="character" w:styleId="ListLabel39">
    <w:name w:val="ListLabel 39"/>
    <w:qFormat/>
    <w:rPr>
      <w:u w:val="none"/>
    </w:rPr>
  </w:style>
  <w:style w:type="character" w:styleId="ListLabel40">
    <w:name w:val="ListLabel 40"/>
    <w:qFormat/>
    <w:rPr>
      <w:u w:val="none"/>
    </w:rPr>
  </w:style>
  <w:style w:type="character" w:styleId="ListLabel41">
    <w:name w:val="ListLabel 41"/>
    <w:qFormat/>
    <w:rPr>
      <w:u w:val="none"/>
    </w:rPr>
  </w:style>
  <w:style w:type="character" w:styleId="ListLabel42">
    <w:name w:val="ListLabel 42"/>
    <w:qFormat/>
    <w:rPr>
      <w:u w:val="none"/>
    </w:rPr>
  </w:style>
  <w:style w:type="character" w:styleId="ListLabel43">
    <w:name w:val="ListLabel 43"/>
    <w:qFormat/>
    <w:rPr>
      <w:u w:val="none"/>
    </w:rPr>
  </w:style>
  <w:style w:type="character" w:styleId="ListLabel44">
    <w:name w:val="ListLabel 44"/>
    <w:qFormat/>
    <w:rPr>
      <w:u w:val="none"/>
    </w:rPr>
  </w:style>
  <w:style w:type="character" w:styleId="ListLabel45">
    <w:name w:val="ListLabel 45"/>
    <w:qFormat/>
    <w:rPr>
      <w:u w:val="none"/>
    </w:rPr>
  </w:style>
  <w:style w:type="character" w:styleId="ListLabel46">
    <w:name w:val="ListLabel 46"/>
    <w:qFormat/>
    <w:rPr>
      <w:b/>
      <w:u w:val="none"/>
    </w:rPr>
  </w:style>
  <w:style w:type="character" w:styleId="ListLabel47">
    <w:name w:val="ListLabel 47"/>
    <w:qFormat/>
    <w:rPr>
      <w:u w:val="none"/>
    </w:rPr>
  </w:style>
  <w:style w:type="character" w:styleId="ListLabel48">
    <w:name w:val="ListLabel 48"/>
    <w:qFormat/>
    <w:rPr>
      <w:u w:val="none"/>
    </w:rPr>
  </w:style>
  <w:style w:type="character" w:styleId="ListLabel49">
    <w:name w:val="ListLabel 49"/>
    <w:qFormat/>
    <w:rPr>
      <w:u w:val="none"/>
    </w:rPr>
  </w:style>
  <w:style w:type="character" w:styleId="ListLabel50">
    <w:name w:val="ListLabel 50"/>
    <w:qFormat/>
    <w:rPr>
      <w:u w:val="none"/>
    </w:rPr>
  </w:style>
  <w:style w:type="character" w:styleId="ListLabel51">
    <w:name w:val="ListLabel 51"/>
    <w:qFormat/>
    <w:rPr>
      <w:u w:val="none"/>
    </w:rPr>
  </w:style>
  <w:style w:type="character" w:styleId="ListLabel52">
    <w:name w:val="ListLabel 52"/>
    <w:qFormat/>
    <w:rPr>
      <w:u w:val="none"/>
    </w:rPr>
  </w:style>
  <w:style w:type="character" w:styleId="ListLabel53">
    <w:name w:val="ListLabel 53"/>
    <w:qFormat/>
    <w:rPr>
      <w:u w:val="none"/>
    </w:rPr>
  </w:style>
  <w:style w:type="character" w:styleId="ListLabel54">
    <w:name w:val="ListLabel 54"/>
    <w:qFormat/>
    <w:rPr>
      <w:u w:val="none"/>
    </w:rPr>
  </w:style>
  <w:style w:type="character" w:styleId="ListLabel55">
    <w:name w:val="ListLabel 55"/>
    <w:qFormat/>
    <w:rPr>
      <w:u w:val="none"/>
    </w:rPr>
  </w:style>
  <w:style w:type="character" w:styleId="ListLabel56">
    <w:name w:val="ListLabel 56"/>
    <w:qFormat/>
    <w:rPr>
      <w:u w:val="none"/>
    </w:rPr>
  </w:style>
  <w:style w:type="character" w:styleId="ListLabel57">
    <w:name w:val="ListLabel 57"/>
    <w:qFormat/>
    <w:rPr>
      <w:u w:val="none"/>
    </w:rPr>
  </w:style>
  <w:style w:type="character" w:styleId="ListLabel58">
    <w:name w:val="ListLabel 58"/>
    <w:qFormat/>
    <w:rPr>
      <w:u w:val="none"/>
    </w:rPr>
  </w:style>
  <w:style w:type="character" w:styleId="ListLabel59">
    <w:name w:val="ListLabel 59"/>
    <w:qFormat/>
    <w:rPr>
      <w:u w:val="none"/>
    </w:rPr>
  </w:style>
  <w:style w:type="character" w:styleId="ListLabel60">
    <w:name w:val="ListLabel 60"/>
    <w:qFormat/>
    <w:rPr>
      <w:u w:val="none"/>
    </w:rPr>
  </w:style>
  <w:style w:type="character" w:styleId="ListLabel61">
    <w:name w:val="ListLabel 61"/>
    <w:qFormat/>
    <w:rPr>
      <w:u w:val="none"/>
    </w:rPr>
  </w:style>
  <w:style w:type="character" w:styleId="ListLabel62">
    <w:name w:val="ListLabel 62"/>
    <w:qFormat/>
    <w:rPr>
      <w:u w:val="none"/>
    </w:rPr>
  </w:style>
  <w:style w:type="character" w:styleId="ListLabel63">
    <w:name w:val="ListLabel 63"/>
    <w:qFormat/>
    <w:rPr>
      <w:u w:val="none"/>
    </w:rPr>
  </w:style>
  <w:style w:type="character" w:styleId="ListLabel64">
    <w:name w:val="ListLabel 64"/>
    <w:qFormat/>
    <w:rPr>
      <w:u w:val="none"/>
    </w:rPr>
  </w:style>
  <w:style w:type="character" w:styleId="ListLabel65">
    <w:name w:val="ListLabel 65"/>
    <w:qFormat/>
    <w:rPr>
      <w:u w:val="none"/>
    </w:rPr>
  </w:style>
  <w:style w:type="character" w:styleId="ListLabel66">
    <w:name w:val="ListLabel 66"/>
    <w:qFormat/>
    <w:rPr>
      <w:u w:val="none"/>
    </w:rPr>
  </w:style>
  <w:style w:type="character" w:styleId="ListLabel67">
    <w:name w:val="ListLabel 67"/>
    <w:qFormat/>
    <w:rPr>
      <w:u w:val="none"/>
    </w:rPr>
  </w:style>
  <w:style w:type="character" w:styleId="ListLabel68">
    <w:name w:val="ListLabel 68"/>
    <w:qFormat/>
    <w:rPr>
      <w:u w:val="none"/>
    </w:rPr>
  </w:style>
  <w:style w:type="character" w:styleId="ListLabel69">
    <w:name w:val="ListLabel 69"/>
    <w:qFormat/>
    <w:rPr>
      <w:u w:val="none"/>
    </w:rPr>
  </w:style>
  <w:style w:type="character" w:styleId="ListLabel70">
    <w:name w:val="ListLabel 70"/>
    <w:qFormat/>
    <w:rPr>
      <w:u w:val="none"/>
    </w:rPr>
  </w:style>
  <w:style w:type="character" w:styleId="ListLabel71">
    <w:name w:val="ListLabel 71"/>
    <w:qFormat/>
    <w:rPr>
      <w:u w:val="none"/>
    </w:rPr>
  </w:style>
  <w:style w:type="character" w:styleId="ListLabel72">
    <w:name w:val="ListLabel 72"/>
    <w:qFormat/>
    <w:rPr>
      <w:u w:val="non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LO-normal"/>
    <w:qFormat/>
    <w:pPr>
      <w:widowControl/>
      <w:bidi w:val="0"/>
      <w:spacing w:lineRule="auto" w:line="276"/>
      <w:jc w:val="left"/>
    </w:pPr>
    <w:rPr>
      <w:rFonts w:ascii="Arial" w:hAnsi="Arial" w:eastAsia="Arial" w:cs="Arial"/>
      <w:color w:val="auto"/>
      <w:kern w:val="0"/>
      <w:sz w:val="22"/>
      <w:szCs w:val="22"/>
      <w:lang w:val="en" w:eastAsia="zh-CN" w:bidi="hi-IN"/>
    </w:rPr>
  </w:style>
  <w:style w:type="paragraph" w:styleId="Title">
    <w:name w:val="Title"/>
    <w:basedOn w:val="Normal1"/>
    <w:next w:val="Normal1"/>
    <w:qFormat/>
    <w:pPr>
      <w:keepNext w:val="true"/>
      <w:keepLines/>
      <w:spacing w:before="0" w:after="60"/>
    </w:pPr>
    <w:rPr>
      <w:sz w:val="52"/>
      <w:szCs w:val="52"/>
    </w:rPr>
  </w:style>
  <w:style w:type="paragraph" w:styleId="Subtitle">
    <w:name w:val="Subtitle"/>
    <w:basedOn w:val="Normal1"/>
    <w:next w:val="Normal1"/>
    <w:qFormat/>
    <w:pPr>
      <w:keepNext w:val="true"/>
      <w:keepLines/>
      <w:spacing w:lineRule="auto" w:line="240" w:before="0" w:after="320"/>
    </w:pPr>
    <w:rPr>
      <w:color w:val="666666"/>
      <w:sz w:val="30"/>
      <w:szCs w:val="30"/>
    </w:rPr>
  </w:style>
  <w:style w:type="paragraph" w:styleId="ListParagraph">
    <w:name w:val="List Paragraph"/>
    <w:basedOn w:val="Normal1"/>
    <w:uiPriority w:val="34"/>
    <w:qFormat/>
    <w:rsid w:val="008b7f76"/>
    <w:pPr>
      <w:spacing w:before="0" w:after="0"/>
      <w:ind w:left="720" w:hanging="0"/>
      <w:contextualSpacing/>
    </w:pPr>
    <w:rPr/>
  </w:style>
  <w:style w:type="paragraph" w:styleId="Annotationtext">
    <w:name w:val="annotation text"/>
    <w:basedOn w:val="Normal1"/>
    <w:link w:val="CommentTextChar"/>
    <w:uiPriority w:val="99"/>
    <w:semiHidden/>
    <w:unhideWhenUsed/>
    <w:qFormat/>
    <w:pPr>
      <w:spacing w:lineRule="auto" w:line="240"/>
    </w:pPr>
    <w:rPr>
      <w:sz w:val="20"/>
      <w:szCs w:val="20"/>
    </w:rPr>
  </w:style>
  <w:style w:type="paragraph" w:styleId="BalloonText">
    <w:name w:val="Balloon Text"/>
    <w:basedOn w:val="Normal1"/>
    <w:link w:val="BalloonTextChar"/>
    <w:uiPriority w:val="99"/>
    <w:semiHidden/>
    <w:unhideWhenUsed/>
    <w:qFormat/>
    <w:rsid w:val="00d7352e"/>
    <w:pPr>
      <w:spacing w:lineRule="auto" w:line="240"/>
    </w:pPr>
    <w:rPr>
      <w:rFonts w:ascii="Segoe UI" w:hAnsi="Segoe UI" w:cs="Segoe UI"/>
      <w:sz w:val="18"/>
      <w:szCs w:val="18"/>
    </w:rPr>
  </w:style>
  <w:style w:type="paragraph" w:styleId="Header">
    <w:name w:val="Header"/>
    <w:basedOn w:val="Normal"/>
    <w:pPr/>
    <w:rPr/>
  </w:style>
  <w:style w:type="paragraph" w:styleId="Footer">
    <w:name w:val="Footer"/>
    <w:basedOn w:val="Normal"/>
    <w:pPr/>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CuPCVU/j1SeVnQt9K1p9rY38BNg==">AMUW2mXVjzujZZOLHwUPJi+vTLd4y3Qi9C3SgZBPds7aiViIxIkx5QO9hMlOmk1CMzSW8BiRnOmXH0LZBMDeZDYYIMb9MEL1zEaHBDU5VXYR/tjPlOMO8CD8Tkx5LvFthRzeGGxmFNY86smH5guEdY1+rTSxrlXsvseSkuDjI+reyE3q2XL8uogxcN59f9YsHKe3wDlLOUFUJFGmF70SRTPZ5Y0axy1FNhwjKMPSu96hSkaFYPTIV7fFXrkU6fvXoOXIP6Fbh51vpKhEjIy5TxwwK+AalzkAOjkOYExKcoRdCoO+NzHYlhN2FlRk7pFZfYIXgSGKDVCOS0AiYGRCOGrsfmg4Ur4r/9L80qECpy1898AXcRYuHIk/yRUj5ZBlOf7avDzeSU7JpAnAMrHkv4vHvKgXQNEsm+0Si1fme+px7njkXtbDSDq/8DLuz86XxoXUrzyteu7dZn5MDB5I98OCao5jduaFoDss+g9YJfs9q9nfMpBIQMVvL5ljKbHOffcZuqLPIsW5j6W8Iw9nwS54yv7F/PD3BUUlqqTE2e+wp+99jXdg6YuzYm2BPmHCSRLb4ZJCP974beLZsMOSGWUCS4q+CQjT2ZnW/pQUscAUVY+ygqhB9LuKu50ATmwBrnuR2D1Xup/Zp3tgmbX3r9IIAX7L2VWf++788z3ULCqAorZW4C2VVOdsDBWuG0DgyRP1yCNwlRaFz3bDYxKJD99v5w6F68OEdHYQerOS18wIYlGwzFD1N/gATJS1FEzwsA1iMficnHrdRN2+KCOMgjHPi+DbNR1FjE9AOLqhSv/aoVLbyPKJALzZUg5NLoi7+/xVXTvNEMZdzSuDQ64mA3AxVZ7GrzugGA3QiqJhFt8ixOUB9hCjjbPfIt7iabgz/vjDB4JrnsoZRsFA8xEiz/fEBZ/a2SbiUeGHKbxWHxnyVvtrN3l6FS9T7+C34+h8q9bMrMATuTSgtbC32kkZbDblKZUDCVZ58K7tiCEezq3WVjwvb/F85UL3kzw3EWbWTBh/2lw0XwJvGRwk9BChhydGIwtBsPTRnwt+42VOhINNgpSGZbjHPui8RGiNyhBTUujnIXmnDJU9SEoH2pFzL4gjvP44Ym5FzzEbH0OP8t05Ien76nn2ti2gl04TxySu3PWhtmzojq/6mbGg+X3Z+jkv/wGfwBAxKn7MUZNrAncmQ54ELVXX+UPBxH5O6DUJtkMHB8kz3EZa5yE62lEMeOXkvhzaGWxqgjSct/50yiBiZLzL+T6NjbbHrGpKSd3YulUQ9aO1o4R3v5KnNlnI4eMLylqtMtlSM0JQ4/wc8t4A4AiF+z9UUEOtuUVB0wyfNdZmqOwdqgWzHoGEV2fJmNdyMyWPKRrqhL+ZZm2gxXXFenW9tjOdkzZfT5Jz2j3/nShgf1CWLjk6Innr/jc6V3vwt6VoqbO6cAQP/RCKYD/+pOxlSBMy0DVWHoi5q0lAyXM+AY/XdFjDz1gmZs5PiYnl7Whtdhay6TyCeEFYs9AJw7JuBwkHTfnq/Kqxq1gsyQCYZ6J4RR2To52k51xFVhX7j0Bt2fedtmQJUDz/+C/nKg/8an+CHNGBv6c5uGm9tJ4DQcU3aozBayFioZCboiVb/G9vl0/1hr+ZqNwvV98oY3jC0XmiWPaU+FUU2CPJAJLI0J1Y9jzCgLDJ0LQft83G6RU8v9kMFVDNUs9sa6Xa26fuQCGn9EMSyI4x0hnxr6nI5oJALoZcPb5PszN/AQ1RmyfB1AyVyx47OYxEFdcIIfp4dD89Rs2JL2Bc6MBDo/DVWAmiwpipxj/O1+k9UAIOK+/avrd8IEKkgdZon5dAJA08zX8LW6z3XRJqnuCc2ta/kEvgVlmAPmKICMGvAY8prQpsdI+C3wtgx07okjBm8dU0OGOxwgNVW185LySf1YBupah6H+O9AfiTFgngQDlT7UcfeUH9a2IyBXsitSxAHR5PXfGGVQE/QDzydTAMZTxSJMB7AKN8+klX3D7LPocKc/gFrKdDgtu05pvMMDABzY4xkM5bAcaNh/IiCCtdDLKD/SAQtMY7ntBtzDABxakwuCfMWpj/lTSskhtY6T9uuoMuA1vR4qiof/m5J1mwyGB4i+QWIw/a4lvRRnJqO+ttjvL6LuRPfjyOscGbD5fmtXGWpGfX4HwqRHaeY8xfWjtQR8SuuykvdTH19nSA6lzQafPXZ23McwJ8MQy+fmYfScxbjqMd/8ADs2TbhKgfBsdEzMtI+eJ3srF75EgVYXEO0o/bZrJp9eNvSf2xdCFhQd3zqHeVHwhm1EcDAMYqo3aPTL1HtYJCwCkOG+gN4Bc6h4VuZRuFRY9+oJX3K1uC2MnCr8WxrFcFCLstF2o/OnBBF/3NEvezsJfeiEK+dp2uyZol05cFpY6sxMnNTomYOTlAwubFixKCLBVVhsz/G9YN7PKje6TU5vzsjY5ZbCVqsaCaKOSJ7VfDLz20LgtVH1Gw5N+4efTB5l8etAcejsSMUqSgR6kF1B1+JEIKI5s/TmEW1wuw4yN8bOJE0V6knpBvch89x57xIAyk9SUgnDSJx1SurvSYrp1b8xCdC8BjvaCi9FtmUwypE+vkdrDP1HtZhPdm0JvUwMF9vzux2TZ2dhekmrgZWgOeREemQnkdzWYLjfEvSa45qRY0XM8sFbXJmEq+MF7Nv/9SGD+TWRFb59tSIFbsfkNVEVGp6Arx4kGS9cNobMkdpo6uClhwGJkhItNs1p3L5f3fs52P2RKZJ436WEFgtPAJ5YfQ+APptOYQw2ZKjQfjIiIOcIvMFzlGFBVieDYDroOzRvXrUCU0DEu6X05LOUGvonmykbZ+fqXQ/kzy4HQUrhenzXLRUzG9S442LCQnZbkr4B2MBt/Kn+Th1ejPoKD7fKjpgij23HEAIFDWt7bj2lPE3G5vDMoxJ/G7hUGI0/l3vkYLJIn7v6vJ9fGMoboDzxvWvl1kVaghLrnnF+vfL462bYMOFOH+keBf7izJYh6qBFt4lqkGsU+PmZDFR3uDHYjEA6bqYjray9qZQTLtcKwILGscoWUynM2ArBjNvvJ/v5CmK+5VdTq9xni6Mi+mQi/LKnMKGwBpUxEC7DYh7lFrF2SPHHszIKltyXwvwIfmyFY22S8Eqacp1YpwDyNJvJXGN+arcRdhfbRDriFMbmVCMEfyX3PDpPaDkL8/QdppZRXWupugL+udoZUSCnxB93hAFM/Vg+e0hF4/Q3f3epaSVtkLIjELwLl57ZtwkiE2Is5Im1gk5mvOF52cshumovBL+hEpvTtB7HGgXEO2P9kKOZ5zYu1d4N2XBlhPfypEOU3ZEQ5Tpq8gm+0wOsa3DlBo4Hg7sQCnwNvXg7ubjKaThYAuuwMmZpovxAZ8B/dvjhXeuR+Cpl9D/Y9EiesjgL3pvs549qB0Ktu3xI+pqRER+h//+FtKrA5okuZy10RuTm0muBaQ5ECMOGjnGIiZ9XOPqVNEGO7CzYISfwM7XibX1JEkRmHMSZc6Vw0K+rfLRXVM6wsip+px4QMPsam1IzbTPxA2c40luNZALjWVrnQ/QGb9GYuBGVlhvQdmRS15nGdWWxjWMa0sQNQ5/FTzIoWu4Gyy0xic/YJzxzhzS24420Yg0UPSwZJd+KcL2BZSt+8GP4GSonnolJzkysvhej7QRAj6ci+1LKFNpnWSaOE6F4AfHzFECz6YMlE6zSLV3lfnZ1/c/Ieji5fqOCaNG7vDifaqt/t503gEb0pkNnkjJdw1zn2efg1H8y+lxyjWhrB2hBOTFdiFxeOzSDt5r2ZX6/iQIj9avfTITmxtip9aNIi/9k+shpZD/QEUgaRziW/n3Hc4pGFmPV8cMV17na8EeNBkXYgM6BtuMhk8T+UopNU4CxVyP6p+H3SlKKCaWvfRrUjCeWJX3+rTKbh9xHGPRoU5DoNKxEPt4LAxU6esM7JGAFSrL3e4c6e/oG3ehu76z1N6QjCNuM6sj/62PfH8iOsRCEPW33gH1QQMSKRGsgLyE8v6xkdepjAiKTHV0k4Nn4AcqJOBTioR9SAMXM3dBQEYUypHWmr3yESKebcMltTPmfPh4oLgjrfsV9UBRPQuMeAP/DsqKfUk2MNDAmYGGTZOXB6Riln8HQQ3LENX3VrcbdiN+KCCORChTzi22FG1NaHKbjgsZogk10IZGbTWqNdN1a+jtlyevaJYE/u2t8htqQUhNamo9aXx5AItX0oGMOqBdI8N3MJ/8Db+xLjQOdLZqpNXliEG6TZcz06kYow8cdRXsG8QnCbW0g6ert6HNPYt6b11/wFBUObiM68bjpX//pG9hbLTOwG5B4jVF5j42rJKK7N63zSeimmn/ssD/5WjMdxaRtUDXRhpu1BTK3Xn+tZOWpEoyYQX+G8PW7ZcDW7jRdtYv0zFsPMaynp27HLPsfmmrlWy9j2QzWAh5++9INi+y3YNhXV2gLSC37jtTKJW0EZXpV/paL0z47K0shJedDBTooU5HKG4fEFViK26QE+Fw0xibZMxe3xxWMfPAXD9QvlLzL8QlyRhbEwT9nkC3r3QpSksNd6eJ7y6aS5gA2CKlsTy2Ppr7hgGEDD+XEF09r9WvsWAw7eWejSkbAWFC0wQtEYkIZjn3RJ90bTcttrFJmasbqYOyaozPKzRbIaqTzHvVFZYp7aIVXdhsPs48FSpvJZZBFUA9qRacDOw3BsGPHfBTPpwMGZEvKC5exMc6J8zdIQjgpJ5qPOkQGfhGWTXCFxHTEdmmBN5LEfcyz4XUDR5REpNZWvI4oSceQuyCoLGSH+KUBWsTgrumnMcUtWanDLqX+AhfXre8wkmekyKy5D+OUKbphg40TNxJ8rZ64WSkYrznj0roQ45dZKJa2kw61J0/OLd/b5Mc70Mvaosr3wXtrQQXEC6FOz8jbVsxElfWAU+cuczXmJE0u+xXQbDG5FGEggBoSxHIvCJxlf3bXBHxqba/b6TUlL4ZAS2Wp1Fvimxc/RoMk3PYipXhJuL25UvFPFdKTqgfgs/4gu0KTKkMzCeru6vRKc3cug659hEyU3o2gj4DU+wmM5APC4HxgIwDmnne/yjfyeC87+PQ88XdxRvEi8FpqHIGGqtUJryz9feKm3y4DnRRFJv6oBfCIv+gi6O/NbSnYY1YXjYUOen2He/lkbxumstU5RGAFZ098QHC6ZnGUvSAxt7EBNiVWIUnNDifwc8c+dm3go3r/hI8oHd0EvUr0or/a9UfiefcJIzZ1Hac4CvQ04W5/OM+yontkW4G9nbYWt8ddWIdLAAk53xVmYxqjz52qOQSJOqRNN8ek4RSURfrHwUL4Ipomzs0n2Wq6n12MTJW36M/Ksha9p7wOMmIEANXiGZtiFyWbOj+WoOk9vDKZ5wcwA69QHh2qu8kbzsXWqbVD+35s6UzP2duRPu7ey45CQPBvnRhtRFAUxuLC2u0CQSNpAb+Bfah0SmrI8YgDcPB1TYVqq6m+gQ43COQcK068VElee3P5KH584BzQmu37A0BUomB3pKccAY/b3PdLpadlntF1nbFCX3R0nh7+OkQIENR8LmI3vX7FdhCqJu95GqxL+0U0BlwJoG0E5lRuNIXtrUbCP3DC4U2TFvC7NqUwGdgxN+00/M0M5ty/hVq6G50uD0r2U3ns3PWk14FGbetiGDnJ3DIOyIVoRxaPpBNXhUhGvplzKY7RP5wTreLX++AK+VaT7zBk22dOBMYs435NHt2JMYWxImEqNP7C9teA4+CRsNAt8k4tgWXP+2RQlUdJ1kflLqvcPKmVcxPU3TNUqX7QzcyZalQrF4nC0aW3k07hEQy5UIoT1HgiWzYDmBujJGky4aE4ehrX2Mv1rA8AupVTuTXQqnufNVT6KRA7eZzL817WeuE8ybB9ORLXlN6RHdAhZlrfOGeWfInDVGCz4Wuj7KACB0wj3MqB8u6wSMgZtf9/j5G7cMDbmU8gKFxrf0J4+0epK7x5Z/slzGh1jq1F7/y74cnH9Yxv6vphvQ84sCmdEv8p2ybTc3qgClKPHjIXv2J4DqpBof9OdVPzFgp1yc2EUrMyNJggutdEB68tiXOlADZG5DKW6z183mX0JTvr2ajxp68NmsjrfTN4EAF+dsvU+SRETU6uA7gIP6nUylAtAubE8paPGDbR44jjBDJygXpF0bKjL2R43x059OZtOwXdChX0bMJUiDp4IrAlKIfp+qP/4rZqBRloOXPn0jdwCoUke/JQ5YasjBmoI9uKL1J4Ia1n+uWIESpp5h2tL3XIMBGKvW6CwGKodnODhge3Fl/QAlcF8vyS1uEBjfWr698EHe/qIE/5Gt69sUWcCqBKTXoFIiIiwlYqYi1Nhc6w/NsuSSS6YeyYq8rKbR1h+U3s28yD+cygJFh+Rxxmjx4If2eEfUIobOFM9fwYVGW5DYnu4XCzXCUBbfOw/Bz39w4xv+07f031msV2YCxo5RzGF78NIZX8X9zKfIg/F1c6SMqZ2Gqp78HZYPajpxRA4ivITbXHGAdL3K7MHcfA20IkEJM38oJKDzizE2WmPeoVpnKkQVRMW8vvCV6Pq7QJe6f2aD60BA9EKlN9W19U7ji0+Cu8Cgos+yCerAnPEPfmyXsDmdPFV+7VFuQCFXAFA0jXnogeak4djm8+ln6F6/9BNmmMxA7iK/n9FO60nlx2U2DaCLeodnis+UuwuIQA7jtkCbPMQOBWpZRqDwWS7vL80LsYL1jTpAeQkh9CYUn0hJvOMD+M3Ovau1LohvTsYAHCRYnEbEAgrEw793VVkm4Bhulw+oAf1UORFBTXjDSRMh5n/gGyvr7cyoQSJUaVo+Q8LZs0NH1JKywCV2X9AcBPcsUkL7psfzLpcDEtGTzxL2K1C7RIg/11em5mIkzWZsA4prCm0tVGPYTTLQMYr5ubPgkI+NOHbdvhnjHXPlWg3cPN4pH/JLviY1yxRd00+vG6f5MOV+BZh8IrTj91CzwHAVGl9s38Qb78Zh2q0/WUFTP04pJJwutqM8pXZo8hel1H+spCJzgWcd94gkY9oiEPF4jqwtHN3xQ/W/z0hOGAU4ORARE23G3JqH35C1wXUXEHzq6Hx/HDRKJCwV62IVtTi3kfGRg5yAGF1Rdky9P0BT1ml8wL3P0QmZhukKgtpFDa4I4SPnuAG9ii9vp0/W7enYKxeqiS7l99gWJcn78hlpqS3+WLs2pgc9P9sgWLY7YD8jJAfLWrOyg5H6gJ/pF8RZ0HuYc2Vv+FZlRvbRGur5N5Rpg2cCKlP6Hw3KS2s2vNcuUKsWsbaAnJ66gS8PNxdHpLSDU3rxy/myhh1/Te2FZ9Q30mAXNOLP+O6vb8Hu5p1xKvie4RP2gqZLMkbY8u+YFoItY2BrLRtNaEw5A1qvJmcCRMC4endmkaAAH5yF5Ano5CVjUN7wF7f9KUEEw+TdFE+IYOkpvUGq1dKUnYFfE8vrJCc5pe64JMLZd33zJpwZ9XaFOrdDKhDpHDZ6N3ewZOJc/53WDLz6g19jwhj3OJAe7U+ikUdKDh6CVlMKG+fPBEXjA3ztul9ww/CKN+xnZ2mGJ88bNZThX+1bMTAZHOGwre4Trcub2PIgHBGbvndYXpn2/DH5mElODHJfiTHMr5dItmT6rI+t4ErOWJL1ycuRKJv+ZWYgI32KbT2t9WhaPekSlaN0e7S9VnrHi/LjUIAZRjABKHOLYWpKnQ4bN7KihV2nV/Fva2hiK0Z4TCYJXUg4vaU0q8HNwBtTkYbIGaaekn6qd+roEQYBNoINIZy0MWmoYUZ6b9zSVLc9F0h6+d1LrNoBEhCgVmWZhSCftKiViAqHu0zyS0mgMBOWIacjuXBl4ef2hNmTGD2sMpGZz/ogsiOk3c9KQxkANXmoB/mm0v1d3LM3krIInaT4lkHh2TLYaiPqB9nJpcDvvwcT3vKWq35iaAv4Y4kqA1mpXluGke6n3HuIUVdGal/I5y6pIanhjxtImiCSGNQXtICz5QRvzMyj6pmRKU5sFGoeZTZ51W9crR7Ba7vvuN+ggyyt/AC6C4k1FrqEHpdltSrRx7BGvaH4VHo+jp7jDYfil6dEBM150VKMdNKSJcQfEk6fKWGWZKhB6N4Jowu/aXd/BUxo0PxwJM5zdVTaFsNT0D22wRawQcHZjk1Qy+7RXHMKgG02zEzeOz7qur3UI2M86LWniTnXrzbDx5jAdD7JsHkpPyRHvHExeioOxdhgHnGmFpHskqXJjha62mk0Wfuk1llA5pCICPX96TUYL/3Q1y8u2uuaODw8O2J/sUV9i0/PLTFmf1m3AHLsQCUHR5oE0rF55YNsfDwSqkDC5DVr6cuQOJx9ifaH1y+8wq+PD0UbJ+dWyqElLnOq3u5g5ZQiuW2JMUd1lTGOWvXShH9UqzVKUiivonx5H0ft4YRI2hM8rEprFQjntRrSVi2GmRmisD1QAReH/8AxfNpDoOB7zLqbD4sbsfmclHyRzvcI79ml5qfYLrKU0Li1FjMO73ivIK09DyfvN2GZkjNrKcTEvW7LmeEme9ouhWmbA9n1YWmz3rCK3jHhaz1oH+PDdtzxCQoKxTxlSCg3W2UqkZy7Fb5vFkhsP3AIwkPNNYdAgY2wq2Anw/c1JrTb77V+jHj6n3kB1uc63Hvdvh5bnfxr7zrChyJakpLFpPiy11vz6cbrys0mmbVC27BLlFUtP+drj8c6P5wNnIZ6embfjIOoa2B8DITL36R47GNHxOYBEQw5yCUBYhBehaEKjA5Ru0Anb9Es2L6QUTynVSB0avMqgkhwO2iuef3w/P8uvw6bmsfU2CEMxlCG/M9CjgtHwquwezgS4sstAcXCxRHYfzOBlS1g+t8bqovpxySXiG/4W2TfrR5rcqUVPJnJ3z3Jjg1ToBSYTUxj+oFr5cMdieAHdp4+KgrH35NhCdkHtoVB7xyNcMTBlXWljZlwbOlpxpB7xDB37zFKYY0EQgXQoi0+dJxBPDVlUf3+O7Mu6RxeplNWJJrCMQ0FFjzkjGnBaNyLwUtw/gMcbAyI7zGza370quzDZIzd1cOrMMIY6FUk8WENnTemfu0veqtlGq8iJbeHHVDLTO7q2xIu5x47OCtZInFVhnS392t8Tcu8AQBXlAC+9FfUZ/KTQ4xDLjHvAG838N6yO8vBemVfCQSHcw9DNBX/tYUtXdWvAIvhTLotXG0LGyFSymiCjOlT00BUmBNCtbkNv+yef9BWN+xb3RaOpdq16oDxY66BAd0OTJAfnCPlRMQfsRpz97BsOFYYK34E4BfU9It9EWqDRFt3Xu4ujBqWw4xTzuNe2ud1lbZvOT7/jq9iWWI8sP7IoEtyj0lh00Re1+Jeh9XUv46/6VwpIJfRbyO0F+z4idolL4535woyZYavj6PTaDcZpdDCP38AtDdIAqYCRk2t7W5P35qPnlJi6esY0pRFv1LXnAGN6YIN9+CEF+QrYhJmA3hOs/GjtWlUGCPpT3Osvi4mf3fMpbwz0V/yHFMf8p9uQ6m30A5sU+YX9aVFDD/1Z4BUMPpDm/KDdGag8fqKHOmnGylgwmmA5B1z++h5RZW/spg+knyV2xODw3P/ELI6dCkcRY9oBciiMvtD2c+uWH+JX80u68t4GQH6eTJCCI2twLnSLXrhUoEd9HhqDskNRWQiryocDtRqvO+6W93O1pbC3N6YO0DbB+DgPJAV8FygC9ii/YUmY4ht0fuSezzmtK89b0Usnlx1eu88Zz1Swd2ohsRcsB9Xdb6HyB0IfdYozukxk+ahjG/a8MaCJgxLaxiUlludU69Zrh+qneZdMS9v+A6J5a3qAVob7sgfE6ervP2G48raEuHhpgcUyCoMgrqP+usJuPEMxG0dWteNTFLQ6oVOA9JA4cy8gqdR9xL7v2lysXjCO2MZJlBNoBXXm66kLQ9czp0oIaIhfP2Npdx+egKUjzLqHbmy1SCAOiRZz52scHBdE0zf9dPJXcu/TtlUkpXFKpXK4UNTf6oB27qzspUYK89PDJee6nrNTUGWhtPoPVznD6Z8AJvRBnn0hGa2s4QYOD0Vwf4uBTjMjrFDP5yqMiXuRjAjzw1+trL0/cj1iJ03Wz/vrWkX9CyRsz0ZFemsfPp9Ulwq6XfD89CVZwehR9BU8TRKEqLggMQYUUlCAyazc8XuQJm38LeqCZivjoiK0MJxl8oV1disz6qK9mHQAqXJBE0Jtq4OeQWYZ/72XvV1VPTrv7NzG+LIzj91sDWJG4DCdjHykg9xaqhIsX7vCq0z/Y3CcqPZsbq2aOvon2GitamcIC0mVMgaAhiPbsgZRQmAjmDVRszseFuKihtRhyGRymJChTFJjpIjX4t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TotalTime>
  <Application>LibreOffice/6.2.0.3$Windows_X86_64 LibreOffice_project/98c6a8a1c6c7b144ce3cc729e34964b47ce25d62</Application>
  <Pages>14</Pages>
  <Words>4362</Words>
  <Characters>22593</Characters>
  <CharactersWithSpaces>28545</CharactersWithSpaces>
  <Paragraphs>237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2019-11-22T09:18:00Z</dcterms:created>
  <dc:creator>mishal</dc:creator>
  <dc:description/>
  <dc:language>en-US</dc:language>
  <cp:lastModifiedBy/>
  <dcterms:modified xsi:type="dcterms:W3CDTF">2021-11-11T18:26:39Z</dcterms:modified>
  <cp:revision>1</cp:revision>
  <dc:subject/>
  <dc:title/>
</cp:coreProperties>
</file>