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03" w:rsidRPr="00D93F23" w:rsidRDefault="009643F4" w:rsidP="00D93F2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A294C">
        <w:rPr>
          <w:rFonts w:ascii="Arial" w:hAnsi="Arial" w:cs="Arial"/>
          <w:b/>
          <w:i/>
          <w:sz w:val="28"/>
          <w:szCs w:val="28"/>
        </w:rPr>
        <w:t>Construcción S</w:t>
      </w:r>
      <w:r w:rsidR="00E52801" w:rsidRPr="001A294C">
        <w:rPr>
          <w:rFonts w:ascii="Arial" w:hAnsi="Arial" w:cs="Arial"/>
          <w:b/>
          <w:i/>
          <w:sz w:val="28"/>
          <w:szCs w:val="28"/>
        </w:rPr>
        <w:t>ostenible</w:t>
      </w:r>
      <w:r w:rsidR="00B65BFE">
        <w:rPr>
          <w:rFonts w:ascii="Arial" w:hAnsi="Arial" w:cs="Arial"/>
          <w:b/>
          <w:i/>
          <w:sz w:val="28"/>
          <w:szCs w:val="28"/>
        </w:rPr>
        <w:t>: Eficiencia e Innovación</w:t>
      </w:r>
      <w:bookmarkStart w:id="0" w:name="_GoBack"/>
      <w:bookmarkEnd w:id="0"/>
    </w:p>
    <w:p w:rsidR="00720C03" w:rsidRPr="001A294C" w:rsidRDefault="00E52801" w:rsidP="003A5B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294C">
        <w:rPr>
          <w:rFonts w:ascii="Arial" w:hAnsi="Arial" w:cs="Arial"/>
          <w:sz w:val="24"/>
          <w:szCs w:val="24"/>
        </w:rPr>
        <w:t>El Programa de las Naciones Unidas para el Medio Ambiente (PNUMA) define l</w:t>
      </w:r>
      <w:r w:rsidR="00D36E8D">
        <w:rPr>
          <w:rFonts w:ascii="Arial" w:hAnsi="Arial" w:cs="Arial"/>
          <w:sz w:val="24"/>
          <w:szCs w:val="24"/>
        </w:rPr>
        <w:t xml:space="preserve">a construcción Sostenible </w:t>
      </w:r>
      <w:r w:rsidRPr="001A294C">
        <w:rPr>
          <w:rFonts w:ascii="Arial" w:hAnsi="Arial" w:cs="Arial"/>
          <w:sz w:val="24"/>
          <w:szCs w:val="24"/>
        </w:rPr>
        <w:t>como:</w:t>
      </w:r>
    </w:p>
    <w:p w:rsidR="001A294C" w:rsidRDefault="00E52801" w:rsidP="003A5BFD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“Una manera de la industria de la construcción</w:t>
      </w:r>
      <w:r w:rsidR="00A47537">
        <w:rPr>
          <w:rFonts w:ascii="Arial" w:hAnsi="Arial" w:cs="Arial"/>
          <w:b/>
          <w:sz w:val="24"/>
          <w:szCs w:val="24"/>
        </w:rPr>
        <w:t xml:space="preserve"> de actuar hacia el logro del desarrollo sostenible, tomando en cuenta aspectos medioambientales, socioeconómicos y culturales. Específicamente, implica cuestiones tales como diseño y administración de edificaciones, construcción y rendimiento de materiales y uso de recursos- todas dentro de una órbita más </w:t>
      </w:r>
      <w:r w:rsidR="001A294C">
        <w:rPr>
          <w:rFonts w:ascii="Arial" w:hAnsi="Arial" w:cs="Arial"/>
          <w:b/>
          <w:sz w:val="24"/>
          <w:szCs w:val="24"/>
        </w:rPr>
        <w:t>amplia del</w:t>
      </w:r>
      <w:r w:rsidR="00A47537">
        <w:rPr>
          <w:rFonts w:ascii="Arial" w:hAnsi="Arial" w:cs="Arial"/>
          <w:b/>
          <w:sz w:val="24"/>
          <w:szCs w:val="24"/>
        </w:rPr>
        <w:t xml:space="preserve"> desarrollo y la gestión urbana”</w:t>
      </w:r>
    </w:p>
    <w:p w:rsidR="001A294C" w:rsidRDefault="001F0E76" w:rsidP="00E528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5BF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F0E76">
        <w:rPr>
          <w:rFonts w:ascii="Arial" w:hAnsi="Arial" w:cs="Arial"/>
          <w:sz w:val="24"/>
          <w:szCs w:val="24"/>
          <w:shd w:val="clear" w:color="auto" w:fill="FFFFFF"/>
        </w:rPr>
        <w:t>El Estudio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457D3" w:rsidRPr="003A5BFD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“Tendencias Globales de Construcción Sostenible 2016”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> de Dodge Data &amp; Analytics,</w:t>
      </w:r>
      <w:r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proyectó que la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construcción sostenible se duplicar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>ía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en 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5BFD">
        <w:rPr>
          <w:rFonts w:ascii="Arial" w:hAnsi="Arial" w:cs="Arial"/>
          <w:sz w:val="24"/>
          <w:szCs w:val="24"/>
          <w:shd w:val="clear" w:color="auto" w:fill="FFFFFF"/>
        </w:rPr>
        <w:t xml:space="preserve">entre 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 xml:space="preserve">los años </w:t>
      </w:r>
      <w:r w:rsidR="003A5BFD">
        <w:rPr>
          <w:rFonts w:ascii="Arial" w:hAnsi="Arial" w:cs="Arial"/>
          <w:sz w:val="24"/>
          <w:szCs w:val="24"/>
          <w:shd w:val="clear" w:color="auto" w:fill="FFFFFF"/>
        </w:rPr>
        <w:t>2017 y 2019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alrededor del mundo, 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>pasando</w:t>
      </w:r>
      <w:r w:rsidR="00C457D3" w:rsidRPr="001F0E76">
        <w:rPr>
          <w:rFonts w:ascii="Arial" w:hAnsi="Arial" w:cs="Arial"/>
          <w:sz w:val="24"/>
          <w:szCs w:val="24"/>
          <w:shd w:val="clear" w:color="auto" w:fill="FFFFFF"/>
        </w:rPr>
        <w:t xml:space="preserve"> de 18% a 37% del total del mercado de la construcción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siendo 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>los retos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más importante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 xml:space="preserve">s a </w:t>
      </w:r>
      <w:r w:rsidR="000108CA">
        <w:rPr>
          <w:rFonts w:ascii="Arial" w:hAnsi="Arial" w:cs="Arial"/>
          <w:sz w:val="24"/>
          <w:szCs w:val="24"/>
          <w:shd w:val="clear" w:color="auto" w:fill="FFFFFF"/>
        </w:rPr>
        <w:t>enfrentar</w:t>
      </w:r>
      <w:r w:rsidR="009608A6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0108CA">
        <w:rPr>
          <w:rFonts w:ascii="Arial" w:hAnsi="Arial" w:cs="Arial"/>
          <w:sz w:val="24"/>
          <w:szCs w:val="24"/>
          <w:shd w:val="clear" w:color="auto" w:fill="FFFFFF"/>
        </w:rPr>
        <w:t xml:space="preserve"> el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 xml:space="preserve"> fortalecimiento de</w:t>
      </w:r>
      <w:r w:rsidR="002C5410">
        <w:rPr>
          <w:rFonts w:ascii="Arial" w:hAnsi="Arial" w:cs="Arial"/>
          <w:sz w:val="24"/>
          <w:szCs w:val="24"/>
          <w:shd w:val="clear" w:color="auto" w:fill="FFFFFF"/>
        </w:rPr>
        <w:t xml:space="preserve"> la conciencia 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>sobre los</w:t>
      </w:r>
      <w:r w:rsidR="002C5410">
        <w:rPr>
          <w:rFonts w:ascii="Arial" w:hAnsi="Arial" w:cs="Arial"/>
          <w:sz w:val="24"/>
          <w:szCs w:val="24"/>
          <w:shd w:val="clear" w:color="auto" w:fill="FFFFFF"/>
        </w:rPr>
        <w:t xml:space="preserve"> beneficios que aporta y </w:t>
      </w:r>
      <w:r w:rsidR="00B016A8">
        <w:rPr>
          <w:rFonts w:ascii="Arial" w:hAnsi="Arial" w:cs="Arial"/>
          <w:sz w:val="24"/>
          <w:szCs w:val="24"/>
          <w:shd w:val="clear" w:color="auto" w:fill="FFFFFF"/>
        </w:rPr>
        <w:t xml:space="preserve">el desarrollo de </w:t>
      </w:r>
      <w:r w:rsidR="000108CA">
        <w:rPr>
          <w:rFonts w:ascii="Arial" w:hAnsi="Arial" w:cs="Arial"/>
          <w:sz w:val="24"/>
          <w:szCs w:val="24"/>
          <w:shd w:val="clear" w:color="auto" w:fill="FFFFFF"/>
        </w:rPr>
        <w:t>un marco</w:t>
      </w:r>
      <w:r w:rsidR="002C5410">
        <w:rPr>
          <w:rFonts w:ascii="Arial" w:hAnsi="Arial" w:cs="Arial"/>
          <w:sz w:val="24"/>
          <w:szCs w:val="24"/>
          <w:shd w:val="clear" w:color="auto" w:fill="FFFFFF"/>
        </w:rPr>
        <w:t xml:space="preserve"> normativo y de incentivos que </w:t>
      </w:r>
      <w:r w:rsidR="003A5BFD">
        <w:rPr>
          <w:rFonts w:ascii="Arial" w:hAnsi="Arial" w:cs="Arial"/>
          <w:sz w:val="24"/>
          <w:szCs w:val="24"/>
          <w:shd w:val="clear" w:color="auto" w:fill="FFFFFF"/>
        </w:rPr>
        <w:t>genere estímulos para su consolidación.</w:t>
      </w:r>
    </w:p>
    <w:p w:rsidR="003A5BFD" w:rsidRDefault="00EF1FA9" w:rsidP="00471AE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 crecimiento de los procesos de urbanización a nivel mundial y los problemas ambientales derivados del calentamiento globa</w:t>
      </w:r>
      <w:r w:rsidR="00E50CCC">
        <w:rPr>
          <w:rFonts w:ascii="Arial" w:hAnsi="Arial" w:cs="Arial"/>
          <w:sz w:val="24"/>
          <w:szCs w:val="24"/>
          <w:shd w:val="clear" w:color="auto" w:fill="FFFFFF"/>
        </w:rPr>
        <w:t xml:space="preserve">l y cambio climático, plantean la necesidad de construir con un enfoque consciente que privilegie la protección del ambiente, la eficiencia en el uso de </w:t>
      </w:r>
      <w:r w:rsidR="009608A6">
        <w:rPr>
          <w:rFonts w:ascii="Arial" w:hAnsi="Arial" w:cs="Arial"/>
          <w:sz w:val="24"/>
          <w:szCs w:val="24"/>
          <w:shd w:val="clear" w:color="auto" w:fill="FFFFFF"/>
        </w:rPr>
        <w:t xml:space="preserve">los </w:t>
      </w:r>
      <w:r w:rsidR="00E50CCC">
        <w:rPr>
          <w:rFonts w:ascii="Arial" w:hAnsi="Arial" w:cs="Arial"/>
          <w:sz w:val="24"/>
          <w:szCs w:val="24"/>
          <w:shd w:val="clear" w:color="auto" w:fill="FFFFFF"/>
        </w:rPr>
        <w:t>recursos</w:t>
      </w:r>
      <w:r w:rsidR="009608A6">
        <w:rPr>
          <w:rFonts w:ascii="Arial" w:hAnsi="Arial" w:cs="Arial"/>
          <w:sz w:val="24"/>
          <w:szCs w:val="24"/>
          <w:shd w:val="clear" w:color="auto" w:fill="FFFFFF"/>
        </w:rPr>
        <w:t xml:space="preserve"> naturales</w:t>
      </w:r>
      <w:r w:rsidR="00E50CCC">
        <w:rPr>
          <w:rFonts w:ascii="Arial" w:hAnsi="Arial" w:cs="Arial"/>
          <w:sz w:val="24"/>
          <w:szCs w:val="24"/>
          <w:shd w:val="clear" w:color="auto" w:fill="FFFFFF"/>
        </w:rPr>
        <w:t>, la calidad de vida de los ciudadanos</w:t>
      </w:r>
      <w:r w:rsidR="00A6450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50CCC">
        <w:rPr>
          <w:rFonts w:ascii="Arial" w:hAnsi="Arial" w:cs="Arial"/>
          <w:sz w:val="24"/>
          <w:szCs w:val="24"/>
          <w:shd w:val="clear" w:color="auto" w:fill="FFFFFF"/>
        </w:rPr>
        <w:t xml:space="preserve"> sin dejar de lado el crecimiento económico.</w:t>
      </w:r>
    </w:p>
    <w:p w:rsidR="00CC178B" w:rsidRDefault="00471AE4" w:rsidP="004B2123">
      <w:pPr>
        <w:pStyle w:val="NormalWeb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222222"/>
          <w:lang w:eastAsia="es-VE"/>
        </w:rPr>
      </w:pPr>
      <w:r w:rsidRPr="00734563">
        <w:rPr>
          <w:rFonts w:ascii="Arial" w:hAnsi="Arial" w:cs="Arial"/>
          <w:shd w:val="clear" w:color="auto" w:fill="FFFFFF"/>
        </w:rPr>
        <w:t>Informes de la O</w:t>
      </w:r>
      <w:r w:rsidR="00A6294B" w:rsidRPr="00734563">
        <w:rPr>
          <w:rFonts w:ascii="Arial" w:hAnsi="Arial" w:cs="Arial"/>
          <w:shd w:val="clear" w:color="auto" w:fill="FFFFFF"/>
        </w:rPr>
        <w:t xml:space="preserve">rganización de </w:t>
      </w:r>
      <w:r w:rsidRPr="00734563">
        <w:rPr>
          <w:rFonts w:ascii="Arial" w:hAnsi="Arial" w:cs="Arial"/>
          <w:shd w:val="clear" w:color="auto" w:fill="FFFFFF"/>
        </w:rPr>
        <w:t>N</w:t>
      </w:r>
      <w:r w:rsidR="00A6294B" w:rsidRPr="00734563">
        <w:rPr>
          <w:rFonts w:ascii="Arial" w:hAnsi="Arial" w:cs="Arial"/>
          <w:shd w:val="clear" w:color="auto" w:fill="FFFFFF"/>
        </w:rPr>
        <w:t xml:space="preserve">aciones </w:t>
      </w:r>
      <w:r w:rsidRPr="00734563">
        <w:rPr>
          <w:rFonts w:ascii="Arial" w:hAnsi="Arial" w:cs="Arial"/>
          <w:shd w:val="clear" w:color="auto" w:fill="FFFFFF"/>
        </w:rPr>
        <w:t>U</w:t>
      </w:r>
      <w:r w:rsidR="00A6294B" w:rsidRPr="00734563">
        <w:rPr>
          <w:rFonts w:ascii="Arial" w:hAnsi="Arial" w:cs="Arial"/>
          <w:shd w:val="clear" w:color="auto" w:fill="FFFFFF"/>
        </w:rPr>
        <w:t>nidas</w:t>
      </w:r>
      <w:r w:rsidR="00734563">
        <w:rPr>
          <w:rFonts w:ascii="Arial" w:hAnsi="Arial" w:cs="Arial"/>
          <w:shd w:val="clear" w:color="auto" w:fill="FFFFFF"/>
        </w:rPr>
        <w:t xml:space="preserve"> (ONU) </w:t>
      </w:r>
      <w:r w:rsidR="00EC76A1" w:rsidRPr="00734563">
        <w:rPr>
          <w:rFonts w:ascii="Arial" w:hAnsi="Arial" w:cs="Arial"/>
          <w:shd w:val="clear" w:color="auto" w:fill="FFFFFF"/>
        </w:rPr>
        <w:t>y de Architecture 2030</w:t>
      </w:r>
      <w:r w:rsidR="00EC76A1" w:rsidRPr="00734563">
        <w:rPr>
          <w:rFonts w:ascii="Arial" w:eastAsia="Times New Roman" w:hAnsi="Arial" w:cs="Arial"/>
          <w:color w:val="222222"/>
          <w:lang w:eastAsia="es-VE"/>
        </w:rPr>
        <w:t xml:space="preserve"> (</w:t>
      </w:r>
      <w:r w:rsidR="00EC76A1" w:rsidRPr="00A64508">
        <w:rPr>
          <w:rFonts w:ascii="Arial" w:eastAsia="Times New Roman" w:hAnsi="Arial" w:cs="Arial"/>
          <w:i/>
          <w:color w:val="222222"/>
          <w:lang w:eastAsia="es-VE"/>
        </w:rPr>
        <w:t xml:space="preserve">organización sin fines de lucro </w:t>
      </w:r>
      <w:r w:rsidR="00734563" w:rsidRPr="00A64508">
        <w:rPr>
          <w:rFonts w:ascii="Arial" w:eastAsia="Times New Roman" w:hAnsi="Arial" w:cs="Arial"/>
          <w:i/>
          <w:color w:val="222222"/>
          <w:lang w:eastAsia="es-VE"/>
        </w:rPr>
        <w:t xml:space="preserve">cuya </w:t>
      </w:r>
      <w:r w:rsidR="00EC76A1" w:rsidRPr="00A64508">
        <w:rPr>
          <w:rFonts w:ascii="Arial" w:eastAsia="Times New Roman" w:hAnsi="Arial" w:cs="Arial"/>
          <w:i/>
          <w:color w:val="222222"/>
          <w:lang w:eastAsia="es-VE"/>
        </w:rPr>
        <w:t xml:space="preserve">misión de </w:t>
      </w:r>
      <w:r w:rsidR="00A6294B" w:rsidRPr="00A64508">
        <w:rPr>
          <w:rFonts w:ascii="Arial" w:eastAsia="Times New Roman" w:hAnsi="Arial" w:cs="Arial"/>
          <w:i/>
          <w:color w:val="222222"/>
          <w:lang w:eastAsia="es-VE"/>
        </w:rPr>
        <w:t xml:space="preserve">transformar el entorno construido, </w:t>
      </w:r>
      <w:r w:rsidR="00EC76A1" w:rsidRPr="00A64508">
        <w:rPr>
          <w:rFonts w:ascii="Arial" w:eastAsia="Times New Roman" w:hAnsi="Arial" w:cs="Arial"/>
          <w:i/>
          <w:color w:val="222222"/>
          <w:lang w:eastAsia="es-VE"/>
        </w:rPr>
        <w:t xml:space="preserve">principal contribuyente de emisiones de gases de efecto invernadero y </w:t>
      </w:r>
      <w:r w:rsidR="00A6294B" w:rsidRPr="00A64508">
        <w:rPr>
          <w:rFonts w:ascii="Arial" w:eastAsia="Times New Roman" w:hAnsi="Arial" w:cs="Arial"/>
          <w:i/>
          <w:color w:val="222222"/>
          <w:lang w:eastAsia="es-VE"/>
        </w:rPr>
        <w:t>aportar a</w:t>
      </w:r>
      <w:r w:rsidR="00EC76A1" w:rsidRPr="00A64508">
        <w:rPr>
          <w:rFonts w:ascii="Arial" w:eastAsia="Times New Roman" w:hAnsi="Arial" w:cs="Arial"/>
          <w:i/>
          <w:color w:val="222222"/>
          <w:lang w:eastAsia="es-VE"/>
        </w:rPr>
        <w:t xml:space="preserve"> </w:t>
      </w:r>
      <w:r w:rsidR="00A6294B" w:rsidRPr="00A64508">
        <w:rPr>
          <w:rFonts w:ascii="Arial" w:eastAsia="Times New Roman" w:hAnsi="Arial" w:cs="Arial"/>
          <w:i/>
          <w:color w:val="222222"/>
          <w:lang w:eastAsia="es-VE"/>
        </w:rPr>
        <w:t>la solución</w:t>
      </w:r>
      <w:r w:rsidR="00EC76A1" w:rsidRPr="00A64508">
        <w:rPr>
          <w:rFonts w:ascii="Arial" w:eastAsia="Times New Roman" w:hAnsi="Arial" w:cs="Arial"/>
          <w:i/>
          <w:color w:val="222222"/>
          <w:lang w:eastAsia="es-VE"/>
        </w:rPr>
        <w:t xml:space="preserve"> </w:t>
      </w:r>
      <w:r w:rsidR="00734563" w:rsidRPr="00A64508">
        <w:rPr>
          <w:rFonts w:ascii="Arial" w:eastAsia="Times New Roman" w:hAnsi="Arial" w:cs="Arial"/>
          <w:i/>
          <w:color w:val="222222"/>
          <w:lang w:eastAsia="es-VE"/>
        </w:rPr>
        <w:t xml:space="preserve">de </w:t>
      </w:r>
      <w:r w:rsidR="00EC76A1" w:rsidRPr="00A64508">
        <w:rPr>
          <w:rFonts w:ascii="Arial" w:eastAsia="Times New Roman" w:hAnsi="Arial" w:cs="Arial"/>
          <w:i/>
          <w:color w:val="222222"/>
          <w:lang w:eastAsia="es-VE"/>
        </w:rPr>
        <w:t xml:space="preserve">la crisis climática y energética </w:t>
      </w:r>
      <w:r w:rsidR="00734563" w:rsidRPr="00A64508">
        <w:rPr>
          <w:rFonts w:ascii="Arial" w:eastAsia="Times New Roman" w:hAnsi="Arial" w:cs="Arial"/>
          <w:i/>
          <w:color w:val="222222"/>
          <w:lang w:eastAsia="es-VE"/>
        </w:rPr>
        <w:t>mundial</w:t>
      </w:r>
      <w:r w:rsidR="00734563" w:rsidRPr="00734563">
        <w:rPr>
          <w:rFonts w:ascii="Arial" w:eastAsia="Times New Roman" w:hAnsi="Arial" w:cs="Arial"/>
          <w:color w:val="222222"/>
          <w:lang w:eastAsia="es-VE"/>
        </w:rPr>
        <w:t>)</w:t>
      </w:r>
      <w:r w:rsidR="00620BB9">
        <w:rPr>
          <w:rFonts w:ascii="Arial" w:eastAsia="Times New Roman" w:hAnsi="Arial" w:cs="Arial"/>
          <w:color w:val="222222"/>
          <w:lang w:eastAsia="es-VE"/>
        </w:rPr>
        <w:t>, señalan que para el año 2030, ochenta (80) billones de metros cúbicos adicionales</w:t>
      </w:r>
      <w:r w:rsidR="00DC543D">
        <w:rPr>
          <w:rFonts w:ascii="Arial" w:eastAsia="Times New Roman" w:hAnsi="Arial" w:cs="Arial"/>
          <w:color w:val="222222"/>
          <w:lang w:eastAsia="es-VE"/>
        </w:rPr>
        <w:t xml:space="preserve"> serán incorporados, lo que equivale a 60% del área construida actualmente</w:t>
      </w:r>
      <w:r w:rsidR="00CC178B">
        <w:rPr>
          <w:rFonts w:ascii="Arial" w:eastAsia="Times New Roman" w:hAnsi="Arial" w:cs="Arial"/>
          <w:color w:val="222222"/>
          <w:lang w:eastAsia="es-VE"/>
        </w:rPr>
        <w:t>. S</w:t>
      </w:r>
      <w:r w:rsidR="00A64508">
        <w:rPr>
          <w:rFonts w:ascii="Arial" w:eastAsia="Times New Roman" w:hAnsi="Arial" w:cs="Arial"/>
          <w:color w:val="222222"/>
          <w:lang w:eastAsia="es-VE"/>
        </w:rPr>
        <w:t>e</w:t>
      </w:r>
      <w:r w:rsidR="00CC178B">
        <w:rPr>
          <w:rFonts w:ascii="Arial" w:eastAsia="Times New Roman" w:hAnsi="Arial" w:cs="Arial"/>
          <w:color w:val="222222"/>
          <w:lang w:eastAsia="es-VE"/>
        </w:rPr>
        <w:t xml:space="preserve"> estima que entre el 2030 y 2050 más del 60% de la población mundial vivirá en ciudades.</w:t>
      </w:r>
      <w:r w:rsidR="004B2123">
        <w:rPr>
          <w:rFonts w:ascii="Arial" w:eastAsia="Times New Roman" w:hAnsi="Arial" w:cs="Arial"/>
          <w:color w:val="222222"/>
          <w:lang w:eastAsia="es-VE"/>
        </w:rPr>
        <w:t xml:space="preserve"> </w:t>
      </w:r>
      <w:r w:rsidR="00CC178B">
        <w:rPr>
          <w:rFonts w:ascii="Arial" w:eastAsia="Times New Roman" w:hAnsi="Arial" w:cs="Arial"/>
          <w:color w:val="222222"/>
          <w:lang w:eastAsia="es-VE"/>
        </w:rPr>
        <w:t xml:space="preserve">En este contexto es importante tener en cuenta que </w:t>
      </w:r>
      <w:r w:rsidR="00AB2033">
        <w:rPr>
          <w:rFonts w:ascii="Arial" w:eastAsia="Times New Roman" w:hAnsi="Arial" w:cs="Arial"/>
          <w:color w:val="222222"/>
          <w:lang w:eastAsia="es-VE"/>
        </w:rPr>
        <w:t>la dinámica de las ciudades consume entre un 60 y 80% de la energía</w:t>
      </w:r>
      <w:r w:rsidR="00EB65B3">
        <w:rPr>
          <w:rFonts w:ascii="Arial" w:eastAsia="Times New Roman" w:hAnsi="Arial" w:cs="Arial"/>
          <w:color w:val="222222"/>
          <w:lang w:eastAsia="es-VE"/>
        </w:rPr>
        <w:t xml:space="preserve"> producida</w:t>
      </w:r>
      <w:r w:rsidR="00AB2033">
        <w:rPr>
          <w:rFonts w:ascii="Arial" w:eastAsia="Times New Roman" w:hAnsi="Arial" w:cs="Arial"/>
          <w:color w:val="222222"/>
          <w:lang w:eastAsia="es-VE"/>
        </w:rPr>
        <w:t xml:space="preserve"> y genera cerca del 75% de los Gases de Efecto Invernadero</w:t>
      </w:r>
      <w:r w:rsidR="00EB65B3">
        <w:rPr>
          <w:rFonts w:ascii="Arial" w:eastAsia="Times New Roman" w:hAnsi="Arial" w:cs="Arial"/>
          <w:color w:val="222222"/>
          <w:lang w:eastAsia="es-VE"/>
        </w:rPr>
        <w:t>(GEI)</w:t>
      </w:r>
      <w:r w:rsidR="00AB2033">
        <w:rPr>
          <w:rFonts w:ascii="Arial" w:eastAsia="Times New Roman" w:hAnsi="Arial" w:cs="Arial"/>
          <w:color w:val="222222"/>
          <w:lang w:eastAsia="es-VE"/>
        </w:rPr>
        <w:t xml:space="preserve"> a nivel mundial.</w:t>
      </w:r>
    </w:p>
    <w:p w:rsidR="00EB65B3" w:rsidRDefault="00EB65B3" w:rsidP="00CC178B">
      <w:pPr>
        <w:pStyle w:val="NormalWeb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222222"/>
          <w:lang w:eastAsia="es-VE"/>
        </w:rPr>
      </w:pPr>
    </w:p>
    <w:p w:rsidR="00AB2033" w:rsidRDefault="00EB65B3" w:rsidP="00CC178B">
      <w:pPr>
        <w:pStyle w:val="NormalWeb"/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222222"/>
          <w:lang w:eastAsia="es-VE"/>
        </w:rPr>
      </w:pPr>
      <w:r>
        <w:rPr>
          <w:rFonts w:ascii="Arial" w:eastAsia="Times New Roman" w:hAnsi="Arial" w:cs="Arial"/>
          <w:color w:val="222222"/>
          <w:lang w:eastAsia="es-VE"/>
        </w:rPr>
        <w:t xml:space="preserve">Lo antes señalado, </w:t>
      </w:r>
      <w:r w:rsidR="00D55126">
        <w:rPr>
          <w:rFonts w:ascii="Arial" w:eastAsia="Times New Roman" w:hAnsi="Arial" w:cs="Arial"/>
          <w:color w:val="222222"/>
          <w:lang w:eastAsia="es-VE"/>
        </w:rPr>
        <w:t>pone de manifiesto la</w:t>
      </w:r>
      <w:r w:rsidR="00287846">
        <w:rPr>
          <w:rFonts w:ascii="Arial" w:eastAsia="Times New Roman" w:hAnsi="Arial" w:cs="Arial"/>
          <w:color w:val="222222"/>
          <w:lang w:eastAsia="es-VE"/>
        </w:rPr>
        <w:t xml:space="preserve"> </w:t>
      </w:r>
      <w:r w:rsidR="00D55126">
        <w:rPr>
          <w:rFonts w:ascii="Arial" w:eastAsia="Times New Roman" w:hAnsi="Arial" w:cs="Arial"/>
          <w:color w:val="222222"/>
          <w:lang w:eastAsia="es-VE"/>
        </w:rPr>
        <w:t>importancia de la acción gubernamental</w:t>
      </w:r>
      <w:r w:rsidR="00CA656B">
        <w:rPr>
          <w:rFonts w:ascii="Arial" w:eastAsia="Times New Roman" w:hAnsi="Arial" w:cs="Arial"/>
          <w:color w:val="222222"/>
          <w:lang w:eastAsia="es-VE"/>
        </w:rPr>
        <w:t xml:space="preserve"> y de los promotores y ejecutores de la industria de la construcción privada </w:t>
      </w:r>
      <w:r w:rsidR="00D55126">
        <w:rPr>
          <w:rFonts w:ascii="Arial" w:eastAsia="Times New Roman" w:hAnsi="Arial" w:cs="Arial"/>
          <w:color w:val="222222"/>
          <w:lang w:eastAsia="es-VE"/>
        </w:rPr>
        <w:t>para el logro del crecimiento</w:t>
      </w:r>
      <w:r w:rsidR="00CA656B">
        <w:rPr>
          <w:rFonts w:ascii="Arial" w:eastAsia="Times New Roman" w:hAnsi="Arial" w:cs="Arial"/>
          <w:color w:val="222222"/>
          <w:lang w:eastAsia="es-VE"/>
        </w:rPr>
        <w:t xml:space="preserve"> y consolidación de la </w:t>
      </w:r>
      <w:r w:rsidR="00CA656B" w:rsidRPr="00DB2779">
        <w:rPr>
          <w:rFonts w:ascii="Arial" w:eastAsia="Times New Roman" w:hAnsi="Arial" w:cs="Arial"/>
          <w:b/>
          <w:color w:val="222222"/>
          <w:lang w:eastAsia="es-VE"/>
        </w:rPr>
        <w:t>construcción sostenible</w:t>
      </w:r>
      <w:r w:rsidR="00D55126" w:rsidRPr="00DB2779">
        <w:rPr>
          <w:rFonts w:ascii="Arial" w:eastAsia="Times New Roman" w:hAnsi="Arial" w:cs="Arial"/>
          <w:b/>
          <w:color w:val="222222"/>
          <w:lang w:eastAsia="es-VE"/>
        </w:rPr>
        <w:t>.</w:t>
      </w:r>
    </w:p>
    <w:p w:rsidR="00471AE4" w:rsidRPr="00D93F23" w:rsidRDefault="00471AE4" w:rsidP="00D93F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VE"/>
        </w:rPr>
      </w:pPr>
    </w:p>
    <w:p w:rsidR="00720C03" w:rsidRPr="00933FD3" w:rsidRDefault="00A71579" w:rsidP="00DF468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3FD3">
        <w:rPr>
          <w:rFonts w:ascii="Arial" w:hAnsi="Arial" w:cs="Arial"/>
          <w:sz w:val="24"/>
          <w:szCs w:val="24"/>
        </w:rPr>
        <w:t>La construcción sostenible</w:t>
      </w:r>
      <w:r w:rsidR="00933FD3">
        <w:rPr>
          <w:rFonts w:ascii="Arial" w:hAnsi="Arial" w:cs="Arial"/>
          <w:sz w:val="24"/>
          <w:szCs w:val="24"/>
        </w:rPr>
        <w:t xml:space="preserve"> aplica</w:t>
      </w:r>
      <w:r w:rsidRPr="00933FD3">
        <w:rPr>
          <w:rFonts w:ascii="Arial" w:hAnsi="Arial" w:cs="Arial"/>
          <w:sz w:val="24"/>
          <w:szCs w:val="24"/>
        </w:rPr>
        <w:t xml:space="preserve"> de forma colectiva para </w:t>
      </w:r>
      <w:r w:rsidR="00DB2779">
        <w:rPr>
          <w:rFonts w:ascii="Arial" w:hAnsi="Arial" w:cs="Arial"/>
          <w:sz w:val="24"/>
          <w:szCs w:val="24"/>
        </w:rPr>
        <w:t>el ámbito urbano</w:t>
      </w:r>
      <w:r w:rsidR="00933FD3" w:rsidRPr="00933FD3">
        <w:rPr>
          <w:rFonts w:ascii="Arial" w:hAnsi="Arial" w:cs="Arial"/>
          <w:sz w:val="24"/>
          <w:szCs w:val="24"/>
        </w:rPr>
        <w:t xml:space="preserve"> y</w:t>
      </w:r>
      <w:r w:rsidRPr="00933FD3">
        <w:rPr>
          <w:rFonts w:ascii="Arial" w:hAnsi="Arial" w:cs="Arial"/>
          <w:sz w:val="24"/>
          <w:szCs w:val="24"/>
        </w:rPr>
        <w:t xml:space="preserve"> de forma particular en el diseño </w:t>
      </w:r>
      <w:r w:rsidR="008D6E35">
        <w:rPr>
          <w:rFonts w:ascii="Arial" w:hAnsi="Arial" w:cs="Arial"/>
          <w:sz w:val="24"/>
          <w:szCs w:val="24"/>
        </w:rPr>
        <w:t>y/</w:t>
      </w:r>
      <w:r w:rsidR="00933FD3" w:rsidRPr="00933FD3">
        <w:rPr>
          <w:rFonts w:ascii="Arial" w:hAnsi="Arial" w:cs="Arial"/>
          <w:sz w:val="24"/>
          <w:szCs w:val="24"/>
        </w:rPr>
        <w:t>o</w:t>
      </w:r>
      <w:r w:rsidR="009F2697">
        <w:rPr>
          <w:rFonts w:ascii="Arial" w:hAnsi="Arial" w:cs="Arial"/>
          <w:sz w:val="24"/>
          <w:szCs w:val="24"/>
        </w:rPr>
        <w:t xml:space="preserve"> </w:t>
      </w:r>
      <w:r w:rsidR="00DF4680">
        <w:rPr>
          <w:rFonts w:ascii="Arial" w:hAnsi="Arial" w:cs="Arial"/>
          <w:sz w:val="24"/>
          <w:szCs w:val="24"/>
        </w:rPr>
        <w:t xml:space="preserve">modernización de edificaciones. </w:t>
      </w:r>
      <w:r w:rsidR="009F2697">
        <w:rPr>
          <w:rFonts w:ascii="Arial" w:hAnsi="Arial" w:cs="Arial"/>
          <w:sz w:val="24"/>
          <w:szCs w:val="24"/>
        </w:rPr>
        <w:t>En</w:t>
      </w:r>
      <w:r w:rsidR="00CF37D9">
        <w:rPr>
          <w:rFonts w:ascii="Arial" w:hAnsi="Arial" w:cs="Arial"/>
          <w:sz w:val="24"/>
          <w:szCs w:val="24"/>
        </w:rPr>
        <w:t xml:space="preserve"> su implementación es clave visualizar los impactos ambientales que se generan a lo largo del ciclo de vida de los productos y servicios que se incorporan </w:t>
      </w:r>
      <w:r w:rsidR="008D6E35">
        <w:rPr>
          <w:rFonts w:ascii="Arial" w:hAnsi="Arial" w:cs="Arial"/>
          <w:sz w:val="24"/>
          <w:szCs w:val="24"/>
        </w:rPr>
        <w:t>en el</w:t>
      </w:r>
      <w:r w:rsidR="00CF37D9">
        <w:rPr>
          <w:rFonts w:ascii="Arial" w:hAnsi="Arial" w:cs="Arial"/>
          <w:sz w:val="24"/>
          <w:szCs w:val="24"/>
        </w:rPr>
        <w:t xml:space="preserve"> diseñ</w:t>
      </w:r>
      <w:r w:rsidR="008D6E35">
        <w:rPr>
          <w:rFonts w:ascii="Arial" w:hAnsi="Arial" w:cs="Arial"/>
          <w:sz w:val="24"/>
          <w:szCs w:val="24"/>
        </w:rPr>
        <w:t xml:space="preserve">o y </w:t>
      </w:r>
      <w:r w:rsidR="008D6E35">
        <w:rPr>
          <w:rFonts w:ascii="Arial" w:hAnsi="Arial" w:cs="Arial"/>
          <w:sz w:val="24"/>
          <w:szCs w:val="24"/>
        </w:rPr>
        <w:lastRenderedPageBreak/>
        <w:t xml:space="preserve">construcción de los </w:t>
      </w:r>
      <w:r w:rsidR="00353BB7">
        <w:rPr>
          <w:rFonts w:ascii="Arial" w:hAnsi="Arial" w:cs="Arial"/>
          <w:sz w:val="24"/>
          <w:szCs w:val="24"/>
        </w:rPr>
        <w:t>proyectos, con</w:t>
      </w:r>
      <w:r w:rsidR="008D6E35">
        <w:rPr>
          <w:rFonts w:ascii="Arial" w:hAnsi="Arial" w:cs="Arial"/>
          <w:sz w:val="24"/>
          <w:szCs w:val="24"/>
        </w:rPr>
        <w:t xml:space="preserve"> el propósito </w:t>
      </w:r>
      <w:r w:rsidR="00353BB7">
        <w:rPr>
          <w:rFonts w:ascii="Arial" w:hAnsi="Arial" w:cs="Arial"/>
          <w:sz w:val="24"/>
          <w:szCs w:val="24"/>
        </w:rPr>
        <w:t>de identificar las estrategias que favorezcan la sostenibilidad, considerando las dimensiones tecnológica</w:t>
      </w:r>
      <w:r w:rsidR="00B016A8">
        <w:rPr>
          <w:rFonts w:ascii="Arial" w:hAnsi="Arial" w:cs="Arial"/>
          <w:sz w:val="24"/>
          <w:szCs w:val="24"/>
        </w:rPr>
        <w:t>, ambiental y socioeconómica.</w:t>
      </w:r>
    </w:p>
    <w:p w:rsidR="00DF4680" w:rsidRDefault="006B6DAF" w:rsidP="006B6DA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6DAF">
        <w:rPr>
          <w:rFonts w:ascii="Arial" w:hAnsi="Arial" w:cs="Arial"/>
          <w:sz w:val="24"/>
          <w:szCs w:val="24"/>
        </w:rPr>
        <w:t xml:space="preserve">Domingo Acosta y Alfredo Cilento </w:t>
      </w:r>
      <w:r>
        <w:rPr>
          <w:rFonts w:ascii="Arial" w:hAnsi="Arial" w:cs="Arial"/>
          <w:sz w:val="24"/>
          <w:szCs w:val="24"/>
        </w:rPr>
        <w:t xml:space="preserve">en el texto </w:t>
      </w:r>
      <w:r w:rsidRPr="006B6DAF">
        <w:rPr>
          <w:rFonts w:ascii="Arial" w:hAnsi="Arial" w:cs="Arial"/>
          <w:sz w:val="24"/>
          <w:szCs w:val="24"/>
        </w:rPr>
        <w:t>“Edificaciones sostenibles: estrategias de investigación y desarrollo”</w:t>
      </w:r>
      <w:r>
        <w:rPr>
          <w:rFonts w:ascii="Arial" w:hAnsi="Arial" w:cs="Arial"/>
          <w:sz w:val="24"/>
          <w:szCs w:val="24"/>
        </w:rPr>
        <w:t xml:space="preserve"> señalan</w:t>
      </w:r>
      <w:r w:rsidR="005B7812">
        <w:rPr>
          <w:rFonts w:ascii="Arial" w:hAnsi="Arial" w:cs="Arial"/>
          <w:sz w:val="24"/>
          <w:szCs w:val="24"/>
        </w:rPr>
        <w:t>, entre otras, las siguientes acciones claves</w:t>
      </w:r>
      <w:r w:rsidR="00DF4680">
        <w:rPr>
          <w:rFonts w:ascii="Arial" w:hAnsi="Arial" w:cs="Arial"/>
          <w:sz w:val="24"/>
          <w:szCs w:val="24"/>
        </w:rPr>
        <w:t xml:space="preserve"> </w:t>
      </w:r>
      <w:r w:rsidR="005B7812">
        <w:rPr>
          <w:rFonts w:ascii="Arial" w:hAnsi="Arial" w:cs="Arial"/>
          <w:sz w:val="24"/>
          <w:szCs w:val="24"/>
        </w:rPr>
        <w:t>el desarrollo</w:t>
      </w:r>
      <w:r w:rsidR="004A1468">
        <w:rPr>
          <w:rFonts w:ascii="Arial" w:hAnsi="Arial" w:cs="Arial"/>
          <w:sz w:val="24"/>
          <w:szCs w:val="24"/>
        </w:rPr>
        <w:t xml:space="preserve"> </w:t>
      </w:r>
      <w:r w:rsidR="00DF4680">
        <w:rPr>
          <w:rFonts w:ascii="Arial" w:hAnsi="Arial" w:cs="Arial"/>
          <w:sz w:val="24"/>
          <w:szCs w:val="24"/>
        </w:rPr>
        <w:t>de la construcción sostenible</w:t>
      </w:r>
      <w:r w:rsidR="005B7812">
        <w:rPr>
          <w:rFonts w:ascii="Arial" w:hAnsi="Arial" w:cs="Arial"/>
          <w:sz w:val="24"/>
          <w:szCs w:val="24"/>
        </w:rPr>
        <w:t>:</w:t>
      </w:r>
    </w:p>
    <w:p w:rsidR="004A1468" w:rsidRDefault="006B6DAF" w:rsidP="005A2D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2D9E">
        <w:rPr>
          <w:rFonts w:ascii="Arial" w:hAnsi="Arial" w:cs="Arial"/>
          <w:sz w:val="24"/>
          <w:szCs w:val="24"/>
        </w:rPr>
        <w:t>La p</w:t>
      </w:r>
      <w:r w:rsidR="0037698A" w:rsidRPr="005A2D9E">
        <w:rPr>
          <w:rFonts w:ascii="Arial" w:hAnsi="Arial" w:cs="Arial"/>
          <w:sz w:val="24"/>
          <w:szCs w:val="24"/>
        </w:rPr>
        <w:t>reservación y rehabilitación de edificaciones</w:t>
      </w:r>
      <w:r w:rsidR="005A2D9E">
        <w:rPr>
          <w:rFonts w:ascii="Arial" w:hAnsi="Arial" w:cs="Arial"/>
          <w:sz w:val="24"/>
          <w:szCs w:val="24"/>
        </w:rPr>
        <w:t xml:space="preserve"> existentes</w:t>
      </w:r>
      <w:r w:rsidR="0037698A" w:rsidRPr="005A2D9E">
        <w:rPr>
          <w:rFonts w:ascii="Arial" w:hAnsi="Arial" w:cs="Arial"/>
          <w:sz w:val="24"/>
          <w:szCs w:val="24"/>
        </w:rPr>
        <w:t xml:space="preserve">; </w:t>
      </w:r>
    </w:p>
    <w:p w:rsidR="009B224E" w:rsidRPr="005A2D9E" w:rsidRDefault="0037698A" w:rsidP="00D45F4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2D9E">
        <w:rPr>
          <w:rFonts w:ascii="Arial" w:hAnsi="Arial" w:cs="Arial"/>
          <w:sz w:val="24"/>
          <w:szCs w:val="24"/>
        </w:rPr>
        <w:t xml:space="preserve">Diseñar </w:t>
      </w:r>
      <w:r w:rsidR="005A2D9E">
        <w:rPr>
          <w:rFonts w:ascii="Arial" w:hAnsi="Arial" w:cs="Arial"/>
          <w:sz w:val="24"/>
          <w:szCs w:val="24"/>
        </w:rPr>
        <w:t xml:space="preserve">con el propósito de reducir al máximo la generación de </w:t>
      </w:r>
      <w:r w:rsidR="008105F1" w:rsidRPr="005A2D9E">
        <w:rPr>
          <w:rFonts w:ascii="Arial" w:hAnsi="Arial" w:cs="Arial"/>
          <w:sz w:val="24"/>
          <w:szCs w:val="24"/>
        </w:rPr>
        <w:t>desperdicios</w:t>
      </w:r>
      <w:r w:rsidR="00176BAB">
        <w:rPr>
          <w:rFonts w:ascii="Arial" w:hAnsi="Arial" w:cs="Arial"/>
          <w:sz w:val="24"/>
          <w:szCs w:val="24"/>
        </w:rPr>
        <w:t xml:space="preserve">, </w:t>
      </w:r>
      <w:r w:rsidR="00BB2FF3">
        <w:rPr>
          <w:rFonts w:ascii="Arial" w:hAnsi="Arial" w:cs="Arial"/>
          <w:sz w:val="24"/>
          <w:szCs w:val="24"/>
        </w:rPr>
        <w:t xml:space="preserve">y gestionar los residuos y escombros </w:t>
      </w:r>
      <w:r w:rsidR="008A1CA8">
        <w:rPr>
          <w:rFonts w:ascii="Arial" w:hAnsi="Arial" w:cs="Arial"/>
          <w:sz w:val="24"/>
          <w:szCs w:val="24"/>
        </w:rPr>
        <w:t xml:space="preserve">aplicando </w:t>
      </w:r>
      <w:r w:rsidR="00176BAB">
        <w:rPr>
          <w:rFonts w:ascii="Arial" w:hAnsi="Arial" w:cs="Arial"/>
          <w:sz w:val="24"/>
          <w:szCs w:val="24"/>
        </w:rPr>
        <w:t>prácticas de r</w:t>
      </w:r>
      <w:r w:rsidR="00176BAB" w:rsidRPr="005A2D9E">
        <w:rPr>
          <w:rFonts w:ascii="Arial" w:hAnsi="Arial" w:cs="Arial"/>
          <w:sz w:val="24"/>
          <w:szCs w:val="24"/>
        </w:rPr>
        <w:t>educ</w:t>
      </w:r>
      <w:r w:rsidR="00176BAB">
        <w:rPr>
          <w:rFonts w:ascii="Arial" w:hAnsi="Arial" w:cs="Arial"/>
          <w:sz w:val="24"/>
          <w:szCs w:val="24"/>
        </w:rPr>
        <w:t>ción</w:t>
      </w:r>
      <w:r w:rsidR="00176BAB" w:rsidRPr="005A2D9E">
        <w:rPr>
          <w:rFonts w:ascii="Arial" w:hAnsi="Arial" w:cs="Arial"/>
          <w:sz w:val="24"/>
          <w:szCs w:val="24"/>
        </w:rPr>
        <w:t>, reus</w:t>
      </w:r>
      <w:r w:rsidR="00BB2FF3">
        <w:rPr>
          <w:rFonts w:ascii="Arial" w:hAnsi="Arial" w:cs="Arial"/>
          <w:sz w:val="24"/>
          <w:szCs w:val="24"/>
        </w:rPr>
        <w:t>o y reciclaje.</w:t>
      </w:r>
    </w:p>
    <w:p w:rsidR="009B224E" w:rsidRPr="005A2D9E" w:rsidRDefault="008A1CA8" w:rsidP="008A1CA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Procurar la e</w:t>
      </w:r>
      <w:r w:rsidR="0037698A" w:rsidRPr="005A2D9E">
        <w:rPr>
          <w:rFonts w:ascii="Arial" w:hAnsi="Arial" w:cs="Arial"/>
          <w:sz w:val="24"/>
          <w:szCs w:val="24"/>
        </w:rPr>
        <w:t>ficiencia energética</w:t>
      </w:r>
      <w:r>
        <w:rPr>
          <w:rFonts w:ascii="Arial" w:hAnsi="Arial" w:cs="Arial"/>
          <w:sz w:val="24"/>
          <w:szCs w:val="24"/>
        </w:rPr>
        <w:t xml:space="preserve"> mediante el desarrollo de prácticas y </w:t>
      </w:r>
      <w:r w:rsidR="00BB2FF3">
        <w:rPr>
          <w:rFonts w:ascii="Arial" w:hAnsi="Arial" w:cs="Arial"/>
          <w:sz w:val="24"/>
          <w:szCs w:val="24"/>
        </w:rPr>
        <w:t>la incorporación de tecnología, incluyendo</w:t>
      </w:r>
      <w:r w:rsidR="00D45F45">
        <w:rPr>
          <w:rFonts w:ascii="Arial" w:hAnsi="Arial" w:cs="Arial"/>
          <w:sz w:val="24"/>
          <w:szCs w:val="24"/>
        </w:rPr>
        <w:t xml:space="preserve"> la automatización y control;</w:t>
      </w:r>
      <w:r w:rsidR="0037698A" w:rsidRPr="005A2D9E">
        <w:rPr>
          <w:rFonts w:ascii="Arial" w:hAnsi="Arial" w:cs="Arial"/>
          <w:sz w:val="24"/>
          <w:szCs w:val="24"/>
        </w:rPr>
        <w:t xml:space="preserve"> </w:t>
      </w:r>
    </w:p>
    <w:p w:rsidR="00BB2FF3" w:rsidRDefault="00BB2FF3" w:rsidP="00BB2F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2FF3">
        <w:rPr>
          <w:rFonts w:ascii="Arial" w:hAnsi="Arial" w:cs="Arial"/>
          <w:sz w:val="24"/>
          <w:szCs w:val="24"/>
        </w:rPr>
        <w:t>Manejo eficiente del agua</w:t>
      </w:r>
      <w:r w:rsidR="00E03D9D">
        <w:rPr>
          <w:rFonts w:ascii="Arial" w:hAnsi="Arial" w:cs="Arial"/>
          <w:sz w:val="24"/>
          <w:szCs w:val="24"/>
        </w:rPr>
        <w:t xml:space="preserve">, promoviendo </w:t>
      </w:r>
      <w:r w:rsidR="00FF4C43">
        <w:rPr>
          <w:rFonts w:ascii="Arial" w:hAnsi="Arial" w:cs="Arial"/>
          <w:sz w:val="24"/>
          <w:szCs w:val="24"/>
        </w:rPr>
        <w:t>el reuso</w:t>
      </w:r>
      <w:r w:rsidR="00E03D9D">
        <w:rPr>
          <w:rFonts w:ascii="Arial" w:hAnsi="Arial" w:cs="Arial"/>
          <w:sz w:val="24"/>
          <w:szCs w:val="24"/>
        </w:rPr>
        <w:t>, tratamiento y recuperación e incorporando sistemas de monitoreo y control</w:t>
      </w:r>
      <w:r w:rsidR="00FF4C43">
        <w:rPr>
          <w:rFonts w:ascii="Arial" w:hAnsi="Arial" w:cs="Arial"/>
          <w:sz w:val="24"/>
          <w:szCs w:val="24"/>
        </w:rPr>
        <w:t xml:space="preserve"> para reducir pérdidas</w:t>
      </w:r>
      <w:r w:rsidR="0079624B">
        <w:rPr>
          <w:rFonts w:ascii="Arial" w:hAnsi="Arial" w:cs="Arial"/>
          <w:sz w:val="24"/>
          <w:szCs w:val="24"/>
        </w:rPr>
        <w:t>.</w:t>
      </w:r>
    </w:p>
    <w:p w:rsidR="0079624B" w:rsidRDefault="0079624B" w:rsidP="00BB2F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nuevos materiales</w:t>
      </w:r>
      <w:r w:rsidR="00FC77F8">
        <w:rPr>
          <w:rFonts w:ascii="Arial" w:hAnsi="Arial" w:cs="Arial"/>
          <w:sz w:val="24"/>
          <w:szCs w:val="24"/>
        </w:rPr>
        <w:t xml:space="preserve"> de construcción</w:t>
      </w:r>
      <w:r>
        <w:rPr>
          <w:rFonts w:ascii="Arial" w:hAnsi="Arial" w:cs="Arial"/>
          <w:sz w:val="24"/>
          <w:szCs w:val="24"/>
        </w:rPr>
        <w:t xml:space="preserve"> y tecnologías más </w:t>
      </w:r>
      <w:r w:rsidR="005B7812">
        <w:rPr>
          <w:rFonts w:ascii="Arial" w:hAnsi="Arial" w:cs="Arial"/>
          <w:sz w:val="24"/>
          <w:szCs w:val="24"/>
        </w:rPr>
        <w:t>eficientes en</w:t>
      </w:r>
      <w:r>
        <w:rPr>
          <w:rFonts w:ascii="Arial" w:hAnsi="Arial" w:cs="Arial"/>
          <w:sz w:val="24"/>
          <w:szCs w:val="24"/>
        </w:rPr>
        <w:t xml:space="preserve"> el consumo de energía, agua y en la </w:t>
      </w:r>
      <w:r w:rsidR="00FF4C43">
        <w:rPr>
          <w:rFonts w:ascii="Arial" w:hAnsi="Arial" w:cs="Arial"/>
          <w:sz w:val="24"/>
          <w:szCs w:val="24"/>
        </w:rPr>
        <w:t xml:space="preserve">minimización </w:t>
      </w:r>
      <w:r>
        <w:rPr>
          <w:rFonts w:ascii="Arial" w:hAnsi="Arial" w:cs="Arial"/>
          <w:sz w:val="24"/>
          <w:szCs w:val="24"/>
        </w:rPr>
        <w:t>de residuos</w:t>
      </w:r>
      <w:r w:rsidR="00FF4C43">
        <w:rPr>
          <w:rFonts w:ascii="Arial" w:hAnsi="Arial" w:cs="Arial"/>
          <w:sz w:val="24"/>
          <w:szCs w:val="24"/>
        </w:rPr>
        <w:t xml:space="preserve"> y desechos</w:t>
      </w:r>
      <w:r>
        <w:rPr>
          <w:rFonts w:ascii="Arial" w:hAnsi="Arial" w:cs="Arial"/>
          <w:sz w:val="24"/>
          <w:szCs w:val="24"/>
        </w:rPr>
        <w:t>.</w:t>
      </w:r>
    </w:p>
    <w:p w:rsidR="005A2D9E" w:rsidRPr="008A0184" w:rsidRDefault="0079624B" w:rsidP="008A018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Incorporación de la vegetación en el </w:t>
      </w:r>
      <w:r w:rsidR="005B7812">
        <w:rPr>
          <w:rFonts w:ascii="Arial" w:hAnsi="Arial" w:cs="Arial"/>
          <w:sz w:val="24"/>
          <w:szCs w:val="24"/>
        </w:rPr>
        <w:t>diseño,</w:t>
      </w:r>
      <w:r>
        <w:rPr>
          <w:rFonts w:ascii="Arial" w:hAnsi="Arial" w:cs="Arial"/>
          <w:sz w:val="24"/>
          <w:szCs w:val="24"/>
        </w:rPr>
        <w:t xml:space="preserve"> fachadas y tec</w:t>
      </w:r>
      <w:r w:rsidR="005B7812">
        <w:rPr>
          <w:rFonts w:ascii="Arial" w:hAnsi="Arial" w:cs="Arial"/>
          <w:sz w:val="24"/>
          <w:szCs w:val="24"/>
        </w:rPr>
        <w:t xml:space="preserve">hos con vegetación.  </w:t>
      </w:r>
    </w:p>
    <w:p w:rsidR="009B224E" w:rsidRDefault="008A0184" w:rsidP="00D51F8A">
      <w:pPr>
        <w:spacing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 la sostenibilidad de los núcleos urbanos</w:t>
      </w:r>
      <w:r w:rsidR="00B24D78">
        <w:rPr>
          <w:rFonts w:ascii="Arial" w:hAnsi="Arial" w:cs="Arial"/>
          <w:sz w:val="24"/>
          <w:szCs w:val="24"/>
        </w:rPr>
        <w:t>, se señala como</w:t>
      </w:r>
      <w:r w:rsidR="003344BD">
        <w:rPr>
          <w:rFonts w:ascii="Arial" w:hAnsi="Arial" w:cs="Arial"/>
          <w:sz w:val="24"/>
          <w:szCs w:val="24"/>
        </w:rPr>
        <w:t xml:space="preserve"> fundamental </w:t>
      </w:r>
      <w:r w:rsidR="00B24D78">
        <w:rPr>
          <w:rFonts w:ascii="Arial" w:hAnsi="Arial" w:cs="Arial"/>
          <w:sz w:val="24"/>
          <w:szCs w:val="24"/>
        </w:rPr>
        <w:t xml:space="preserve">el establecimiento </w:t>
      </w:r>
      <w:r w:rsidR="00BF35C8">
        <w:rPr>
          <w:rFonts w:ascii="Arial" w:hAnsi="Arial" w:cs="Arial"/>
          <w:sz w:val="24"/>
          <w:szCs w:val="24"/>
        </w:rPr>
        <w:t>de políticas</w:t>
      </w:r>
      <w:r w:rsidR="003344BD">
        <w:rPr>
          <w:rFonts w:ascii="Arial" w:hAnsi="Arial" w:cs="Arial"/>
          <w:sz w:val="24"/>
          <w:szCs w:val="24"/>
        </w:rPr>
        <w:t xml:space="preserve"> </w:t>
      </w:r>
      <w:r w:rsidR="00BF35C8">
        <w:rPr>
          <w:rFonts w:ascii="Arial" w:hAnsi="Arial" w:cs="Arial"/>
          <w:sz w:val="24"/>
          <w:szCs w:val="24"/>
        </w:rPr>
        <w:t xml:space="preserve">públicas </w:t>
      </w:r>
      <w:r w:rsidR="003344BD">
        <w:rPr>
          <w:rFonts w:ascii="Arial" w:hAnsi="Arial" w:cs="Arial"/>
          <w:sz w:val="24"/>
          <w:szCs w:val="24"/>
        </w:rPr>
        <w:t xml:space="preserve">y </w:t>
      </w:r>
      <w:r w:rsidR="00B24D78">
        <w:rPr>
          <w:rFonts w:ascii="Arial" w:hAnsi="Arial" w:cs="Arial"/>
          <w:sz w:val="24"/>
          <w:szCs w:val="24"/>
        </w:rPr>
        <w:t xml:space="preserve">de marcos </w:t>
      </w:r>
      <w:r w:rsidR="00BF35C8">
        <w:rPr>
          <w:rFonts w:ascii="Arial" w:hAnsi="Arial" w:cs="Arial"/>
          <w:sz w:val="24"/>
          <w:szCs w:val="24"/>
        </w:rPr>
        <w:t>normativos que</w:t>
      </w:r>
      <w:r w:rsidR="003344BD">
        <w:rPr>
          <w:rFonts w:ascii="Arial" w:hAnsi="Arial" w:cs="Arial"/>
          <w:sz w:val="24"/>
          <w:szCs w:val="24"/>
        </w:rPr>
        <w:t xml:space="preserve"> favorezca</w:t>
      </w:r>
      <w:r w:rsidR="00B24D78">
        <w:rPr>
          <w:rFonts w:ascii="Arial" w:hAnsi="Arial" w:cs="Arial"/>
          <w:sz w:val="24"/>
          <w:szCs w:val="24"/>
        </w:rPr>
        <w:t>n</w:t>
      </w:r>
      <w:r w:rsidR="003344BD">
        <w:rPr>
          <w:rFonts w:ascii="Arial" w:hAnsi="Arial" w:cs="Arial"/>
          <w:sz w:val="24"/>
          <w:szCs w:val="24"/>
        </w:rPr>
        <w:t xml:space="preserve"> e incentive</w:t>
      </w:r>
      <w:r w:rsidR="00BF35C8">
        <w:rPr>
          <w:rFonts w:ascii="Arial" w:hAnsi="Arial" w:cs="Arial"/>
          <w:sz w:val="24"/>
          <w:szCs w:val="24"/>
        </w:rPr>
        <w:t>n</w:t>
      </w:r>
      <w:r w:rsidR="003344BD">
        <w:rPr>
          <w:rFonts w:ascii="Arial" w:hAnsi="Arial" w:cs="Arial"/>
          <w:sz w:val="24"/>
          <w:szCs w:val="24"/>
        </w:rPr>
        <w:t xml:space="preserve"> el nuevo enfoque de la construcción</w:t>
      </w:r>
      <w:r w:rsidR="00D51F8A">
        <w:rPr>
          <w:rFonts w:ascii="Arial" w:hAnsi="Arial" w:cs="Arial"/>
          <w:sz w:val="24"/>
          <w:szCs w:val="24"/>
        </w:rPr>
        <w:t xml:space="preserve">, lo cual debe acompañarse, entre otras, </w:t>
      </w:r>
      <w:r w:rsidR="004C510E">
        <w:rPr>
          <w:rFonts w:ascii="Arial" w:hAnsi="Arial" w:cs="Arial"/>
          <w:sz w:val="24"/>
          <w:szCs w:val="24"/>
        </w:rPr>
        <w:t>con</w:t>
      </w:r>
      <w:r w:rsidR="00D51F8A">
        <w:rPr>
          <w:rFonts w:ascii="Arial" w:hAnsi="Arial" w:cs="Arial"/>
          <w:sz w:val="24"/>
          <w:szCs w:val="24"/>
        </w:rPr>
        <w:t xml:space="preserve"> las siguientes acciones</w:t>
      </w:r>
      <w:r w:rsidR="004C510E">
        <w:rPr>
          <w:rFonts w:ascii="Arial" w:hAnsi="Arial" w:cs="Arial"/>
          <w:sz w:val="24"/>
          <w:szCs w:val="24"/>
        </w:rPr>
        <w:t>:</w:t>
      </w:r>
    </w:p>
    <w:p w:rsidR="009B224E" w:rsidRPr="004C510E" w:rsidRDefault="004C510E" w:rsidP="00D51F8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37698A" w:rsidRPr="004C510E">
        <w:rPr>
          <w:rFonts w:ascii="Arial" w:hAnsi="Arial" w:cs="Arial"/>
          <w:sz w:val="24"/>
          <w:szCs w:val="24"/>
        </w:rPr>
        <w:t xml:space="preserve">educción de la vulnerabilidad y riesgos urbanos; </w:t>
      </w:r>
    </w:p>
    <w:p w:rsidR="00094C96" w:rsidRDefault="00094C96" w:rsidP="00094C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F35C8">
        <w:rPr>
          <w:rFonts w:ascii="Arial" w:hAnsi="Arial" w:cs="Arial"/>
          <w:sz w:val="24"/>
          <w:szCs w:val="24"/>
        </w:rPr>
        <w:t xml:space="preserve">Conservación y rehabilitación del patrimonio construido. Adaptación a nuevos usos y reciclaje de edificaciones. Recuperar el patrimonio existente antes que sustituirlo por una nueva edificación. </w:t>
      </w:r>
    </w:p>
    <w:p w:rsidR="00101D80" w:rsidRDefault="00101D80" w:rsidP="00094C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de sostenibilidad al momento de seleccionar sitios para nuevos asentamientos urbanos.</w:t>
      </w:r>
    </w:p>
    <w:p w:rsidR="00B02BB4" w:rsidRDefault="00B02BB4" w:rsidP="00094C9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Planificación del crecimiento de las ciudades con visión de sostenibilidad (bajo impacto ambiental, calidad de vida y crecimiento económico)</w:t>
      </w:r>
    </w:p>
    <w:p w:rsidR="009B224E" w:rsidRPr="004C510E" w:rsidRDefault="0037698A" w:rsidP="00D51F8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C510E">
        <w:rPr>
          <w:rFonts w:ascii="Arial" w:hAnsi="Arial" w:cs="Arial"/>
          <w:sz w:val="24"/>
          <w:szCs w:val="24"/>
        </w:rPr>
        <w:t>Rescate y modernización de las redes de vialidad y transporte urbano</w:t>
      </w:r>
      <w:r w:rsidR="004C510E">
        <w:rPr>
          <w:rFonts w:ascii="Arial" w:hAnsi="Arial" w:cs="Arial"/>
          <w:sz w:val="24"/>
          <w:szCs w:val="24"/>
        </w:rPr>
        <w:t>, priorizando sistemas de transporte compartido para red</w:t>
      </w:r>
      <w:r w:rsidR="00B24D78">
        <w:rPr>
          <w:rFonts w:ascii="Arial" w:hAnsi="Arial" w:cs="Arial"/>
          <w:sz w:val="24"/>
          <w:szCs w:val="24"/>
        </w:rPr>
        <w:t>ucir el consumo de combustibles.</w:t>
      </w:r>
    </w:p>
    <w:p w:rsidR="009B224E" w:rsidRPr="00B24D78" w:rsidRDefault="00B24D78" w:rsidP="00D51F8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24D78">
        <w:rPr>
          <w:rFonts w:ascii="Arial" w:hAnsi="Arial" w:cs="Arial"/>
          <w:sz w:val="24"/>
          <w:szCs w:val="24"/>
        </w:rPr>
        <w:t>C</w:t>
      </w:r>
      <w:r w:rsidR="0037698A" w:rsidRPr="00B24D78">
        <w:rPr>
          <w:rFonts w:ascii="Arial" w:hAnsi="Arial" w:cs="Arial"/>
          <w:sz w:val="24"/>
          <w:szCs w:val="24"/>
        </w:rPr>
        <w:t>reación y mantenimiento de los espacios públicos</w:t>
      </w:r>
      <w:r w:rsidR="00BF35C8">
        <w:rPr>
          <w:rFonts w:ascii="Arial" w:hAnsi="Arial" w:cs="Arial"/>
          <w:sz w:val="24"/>
          <w:szCs w:val="24"/>
        </w:rPr>
        <w:t xml:space="preserve"> para el disfrute y recreación</w:t>
      </w:r>
      <w:r w:rsidR="0037698A" w:rsidRPr="00B24D78">
        <w:rPr>
          <w:rFonts w:ascii="Arial" w:hAnsi="Arial" w:cs="Arial"/>
          <w:sz w:val="24"/>
          <w:szCs w:val="24"/>
        </w:rPr>
        <w:t xml:space="preserve"> y revegetación de las ciudades</w:t>
      </w:r>
      <w:r w:rsidR="00BF35C8">
        <w:rPr>
          <w:rFonts w:ascii="Arial" w:hAnsi="Arial" w:cs="Arial"/>
          <w:sz w:val="24"/>
          <w:szCs w:val="24"/>
        </w:rPr>
        <w:t xml:space="preserve">. </w:t>
      </w:r>
    </w:p>
    <w:p w:rsidR="001C0953" w:rsidRPr="009F1703" w:rsidRDefault="00D51F8A" w:rsidP="009F170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Incorporación de sistemas de monitoreo y control de la eficiencia de los servicios públicos de la ciudad </w:t>
      </w:r>
      <w:r w:rsidR="00A21EEA">
        <w:rPr>
          <w:rFonts w:ascii="Arial" w:hAnsi="Arial" w:cs="Arial"/>
          <w:sz w:val="24"/>
          <w:szCs w:val="24"/>
        </w:rPr>
        <w:t>(alumbrado</w:t>
      </w:r>
      <w:r>
        <w:rPr>
          <w:rFonts w:ascii="Arial" w:hAnsi="Arial" w:cs="Arial"/>
          <w:sz w:val="24"/>
          <w:szCs w:val="24"/>
        </w:rPr>
        <w:t xml:space="preserve">, semáforos, recolección de residuos, </w:t>
      </w:r>
      <w:r w:rsidR="00A21EEA">
        <w:rPr>
          <w:rFonts w:ascii="Arial" w:hAnsi="Arial" w:cs="Arial"/>
          <w:sz w:val="24"/>
          <w:szCs w:val="24"/>
        </w:rPr>
        <w:t>sistemas de ale</w:t>
      </w:r>
      <w:r w:rsidR="002140E9">
        <w:rPr>
          <w:rFonts w:ascii="Arial" w:hAnsi="Arial" w:cs="Arial"/>
          <w:sz w:val="24"/>
          <w:szCs w:val="24"/>
        </w:rPr>
        <w:t>rta de emergencias, entre otros</w:t>
      </w:r>
      <w:r w:rsidR="001C0953">
        <w:rPr>
          <w:rFonts w:ascii="Arial" w:hAnsi="Arial" w:cs="Arial"/>
          <w:sz w:val="24"/>
          <w:szCs w:val="24"/>
        </w:rPr>
        <w:t>.</w:t>
      </w:r>
    </w:p>
    <w:p w:rsidR="00980EF0" w:rsidRPr="00980EF0" w:rsidRDefault="001C0953" w:rsidP="00980EF0">
      <w:pPr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9F1703">
        <w:rPr>
          <w:rFonts w:ascii="Arial" w:hAnsi="Arial" w:cs="Arial"/>
          <w:b/>
          <w:sz w:val="24"/>
          <w:szCs w:val="24"/>
        </w:rPr>
        <w:lastRenderedPageBreak/>
        <w:t>Vepica</w:t>
      </w:r>
      <w:r w:rsidR="00EC2B67">
        <w:rPr>
          <w:rFonts w:ascii="Arial" w:hAnsi="Arial" w:cs="Arial"/>
          <w:b/>
          <w:sz w:val="24"/>
          <w:szCs w:val="24"/>
        </w:rPr>
        <w:t xml:space="preserve"> </w:t>
      </w:r>
      <w:r w:rsidR="00EC2B67" w:rsidRPr="00182558">
        <w:rPr>
          <w:rFonts w:ascii="Arial" w:hAnsi="Arial" w:cs="Arial"/>
          <w:sz w:val="24"/>
          <w:szCs w:val="24"/>
        </w:rPr>
        <w:t>y sus empresas filiales</w:t>
      </w:r>
      <w:r w:rsidR="00EC2B67">
        <w:rPr>
          <w:rFonts w:ascii="Arial" w:hAnsi="Arial" w:cs="Arial"/>
          <w:b/>
          <w:sz w:val="24"/>
          <w:szCs w:val="24"/>
        </w:rPr>
        <w:t xml:space="preserve"> Ambioconsult, CA </w:t>
      </w:r>
      <w:r w:rsidR="00EC2B67" w:rsidRPr="00182558">
        <w:rPr>
          <w:rFonts w:ascii="Arial" w:hAnsi="Arial" w:cs="Arial"/>
          <w:sz w:val="24"/>
          <w:szCs w:val="24"/>
        </w:rPr>
        <w:t>y</w:t>
      </w:r>
      <w:r w:rsidR="00EC2B67">
        <w:rPr>
          <w:rFonts w:ascii="Arial" w:hAnsi="Arial" w:cs="Arial"/>
          <w:b/>
          <w:sz w:val="24"/>
          <w:szCs w:val="24"/>
        </w:rPr>
        <w:t xml:space="preserve"> LIVCA</w:t>
      </w:r>
      <w:r w:rsidRPr="009F170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F04A3">
        <w:rPr>
          <w:rFonts w:ascii="Arial" w:hAnsi="Arial" w:cs="Arial"/>
          <w:sz w:val="24"/>
          <w:szCs w:val="24"/>
        </w:rPr>
        <w:t>está</w:t>
      </w:r>
      <w:r w:rsidR="00182558">
        <w:rPr>
          <w:rFonts w:ascii="Arial" w:hAnsi="Arial" w:cs="Arial"/>
          <w:sz w:val="24"/>
          <w:szCs w:val="24"/>
        </w:rPr>
        <w:t>n</w:t>
      </w:r>
      <w:r w:rsidR="003F04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comprometida</w:t>
      </w:r>
      <w:r w:rsidR="0018255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 el Desarrollo S</w:t>
      </w:r>
      <w:r w:rsidR="003F04A3">
        <w:rPr>
          <w:rFonts w:ascii="Arial" w:hAnsi="Arial" w:cs="Arial"/>
          <w:sz w:val="24"/>
          <w:szCs w:val="24"/>
        </w:rPr>
        <w:t xml:space="preserve">ostenible y </w:t>
      </w:r>
      <w:r w:rsidR="00182558">
        <w:rPr>
          <w:rFonts w:ascii="Arial" w:hAnsi="Arial" w:cs="Arial"/>
          <w:sz w:val="24"/>
          <w:szCs w:val="24"/>
        </w:rPr>
        <w:t>prueba de ello es que su</w:t>
      </w:r>
      <w:r w:rsidR="003F04A3">
        <w:rPr>
          <w:rFonts w:ascii="Arial" w:hAnsi="Arial" w:cs="Arial"/>
          <w:sz w:val="24"/>
          <w:szCs w:val="24"/>
        </w:rPr>
        <w:t xml:space="preserve"> edificio sede en Caracas</w:t>
      </w:r>
      <w:r>
        <w:rPr>
          <w:rFonts w:ascii="Arial" w:hAnsi="Arial" w:cs="Arial"/>
          <w:sz w:val="24"/>
          <w:szCs w:val="24"/>
        </w:rPr>
        <w:t xml:space="preserve"> </w:t>
      </w:r>
      <w:r w:rsidR="009872BD">
        <w:rPr>
          <w:rFonts w:ascii="Arial" w:hAnsi="Arial" w:cs="Arial"/>
          <w:sz w:val="24"/>
          <w:szCs w:val="24"/>
        </w:rPr>
        <w:t xml:space="preserve">incorporó </w:t>
      </w:r>
      <w:r w:rsidR="007479DB">
        <w:rPr>
          <w:rFonts w:ascii="Arial" w:hAnsi="Arial" w:cs="Arial"/>
          <w:sz w:val="24"/>
          <w:szCs w:val="24"/>
        </w:rPr>
        <w:t xml:space="preserve">los principios de la construcción </w:t>
      </w:r>
      <w:r w:rsidR="003F04A3">
        <w:rPr>
          <w:rFonts w:ascii="Arial" w:hAnsi="Arial" w:cs="Arial"/>
          <w:sz w:val="24"/>
          <w:szCs w:val="24"/>
        </w:rPr>
        <w:t xml:space="preserve">sostenible, </w:t>
      </w:r>
      <w:r w:rsidR="009872BD">
        <w:rPr>
          <w:rFonts w:ascii="Arial" w:hAnsi="Arial" w:cs="Arial"/>
          <w:sz w:val="24"/>
          <w:szCs w:val="24"/>
        </w:rPr>
        <w:t>haciéndol</w:t>
      </w:r>
      <w:r w:rsidR="009F1703">
        <w:rPr>
          <w:rFonts w:ascii="Arial" w:hAnsi="Arial" w:cs="Arial"/>
          <w:sz w:val="24"/>
          <w:szCs w:val="24"/>
        </w:rPr>
        <w:t>a merecedora de</w:t>
      </w:r>
      <w:r w:rsidR="00EC2B67">
        <w:rPr>
          <w:rFonts w:ascii="Arial" w:hAnsi="Arial" w:cs="Arial"/>
          <w:sz w:val="24"/>
          <w:szCs w:val="24"/>
        </w:rPr>
        <w:t xml:space="preserve"> la C</w:t>
      </w:r>
      <w:r w:rsidR="007479DB">
        <w:rPr>
          <w:rFonts w:ascii="Arial" w:hAnsi="Arial" w:cs="Arial"/>
          <w:sz w:val="24"/>
          <w:szCs w:val="24"/>
        </w:rPr>
        <w:t xml:space="preserve">ertificación </w:t>
      </w:r>
      <w:r w:rsidR="00534F54">
        <w:rPr>
          <w:rFonts w:ascii="Arial" w:hAnsi="Arial" w:cs="Arial"/>
          <w:sz w:val="24"/>
          <w:szCs w:val="24"/>
        </w:rPr>
        <w:t>LEED</w:t>
      </w:r>
      <w:r>
        <w:rPr>
          <w:rFonts w:ascii="Arial" w:hAnsi="Arial" w:cs="Arial"/>
          <w:sz w:val="24"/>
          <w:szCs w:val="24"/>
        </w:rPr>
        <w:t xml:space="preserve"> </w:t>
      </w:r>
      <w:r w:rsidR="009F1703">
        <w:rPr>
          <w:rFonts w:ascii="Arial" w:hAnsi="Arial" w:cs="Arial"/>
          <w:sz w:val="24"/>
          <w:szCs w:val="24"/>
        </w:rPr>
        <w:t>(Leadership</w:t>
      </w:r>
      <w:r w:rsidR="009F1703">
        <w:rPr>
          <w:rFonts w:ascii="Arial" w:hAnsi="Arial" w:cs="Arial"/>
          <w:color w:val="202124"/>
          <w:shd w:val="clear" w:color="auto" w:fill="FFFFFF"/>
        </w:rPr>
        <w:t xml:space="preserve"> in Energy &amp; Environmental Design</w:t>
      </w:r>
      <w:r w:rsidR="00EC2B67">
        <w:rPr>
          <w:rFonts w:ascii="Arial" w:hAnsi="Arial" w:cs="Arial"/>
          <w:sz w:val="24"/>
          <w:szCs w:val="24"/>
        </w:rPr>
        <w:t>), estando</w:t>
      </w:r>
      <w:r w:rsidR="009872BD">
        <w:rPr>
          <w:rFonts w:ascii="Arial" w:hAnsi="Arial" w:cs="Arial"/>
          <w:sz w:val="24"/>
          <w:szCs w:val="24"/>
        </w:rPr>
        <w:t xml:space="preserve"> en </w:t>
      </w:r>
      <w:r w:rsidR="00237CCC">
        <w:rPr>
          <w:rFonts w:ascii="Arial" w:hAnsi="Arial" w:cs="Arial"/>
          <w:sz w:val="24"/>
          <w:szCs w:val="24"/>
        </w:rPr>
        <w:t xml:space="preserve">capacidad, </w:t>
      </w:r>
      <w:r w:rsidR="00EC2B67">
        <w:rPr>
          <w:rFonts w:ascii="Arial" w:hAnsi="Arial" w:cs="Arial"/>
          <w:sz w:val="24"/>
          <w:szCs w:val="24"/>
        </w:rPr>
        <w:t>con</w:t>
      </w:r>
      <w:r w:rsidR="009872BD">
        <w:rPr>
          <w:rFonts w:ascii="Arial" w:hAnsi="Arial" w:cs="Arial"/>
          <w:sz w:val="24"/>
          <w:szCs w:val="24"/>
        </w:rPr>
        <w:t xml:space="preserve"> su equipo de profesionales multidisciplinarios</w:t>
      </w:r>
      <w:r w:rsidR="00237CCC">
        <w:rPr>
          <w:rFonts w:ascii="Arial" w:hAnsi="Arial" w:cs="Arial"/>
          <w:sz w:val="24"/>
          <w:szCs w:val="24"/>
        </w:rPr>
        <w:t>,</w:t>
      </w:r>
      <w:r w:rsidR="009872BD">
        <w:rPr>
          <w:rFonts w:ascii="Arial" w:hAnsi="Arial" w:cs="Arial"/>
          <w:sz w:val="24"/>
          <w:szCs w:val="24"/>
        </w:rPr>
        <w:t xml:space="preserve"> de ofrecer servicios de diseño, procura y construcción sostenible</w:t>
      </w:r>
      <w:r w:rsidR="009F1703">
        <w:rPr>
          <w:rFonts w:ascii="Arial" w:hAnsi="Arial" w:cs="Arial"/>
          <w:sz w:val="24"/>
          <w:szCs w:val="24"/>
        </w:rPr>
        <w:t xml:space="preserve"> a sus clientes</w:t>
      </w:r>
      <w:r w:rsidR="00182558">
        <w:rPr>
          <w:rFonts w:ascii="Arial" w:hAnsi="Arial" w:cs="Arial"/>
          <w:sz w:val="24"/>
          <w:szCs w:val="24"/>
        </w:rPr>
        <w:t xml:space="preserve"> dentro y fuera de </w:t>
      </w:r>
      <w:r w:rsidR="00237CCC">
        <w:rPr>
          <w:rFonts w:ascii="Arial" w:hAnsi="Arial" w:cs="Arial"/>
          <w:sz w:val="24"/>
          <w:szCs w:val="24"/>
        </w:rPr>
        <w:t>Venezuela</w:t>
      </w:r>
    </w:p>
    <w:p w:rsidR="00D93F23" w:rsidRDefault="00D93F23" w:rsidP="00D93F23">
      <w:r>
        <w:t>______________________________________________________________</w:t>
      </w:r>
    </w:p>
    <w:p w:rsidR="00D93F23" w:rsidRDefault="00D93F23" w:rsidP="00D93F23">
      <w:r>
        <w:t xml:space="preserve">Referencias: </w:t>
      </w:r>
    </w:p>
    <w:p w:rsidR="00D36E8D" w:rsidRPr="00D93F23" w:rsidRDefault="00D36E8D" w:rsidP="00D36E8D">
      <w:pPr>
        <w:pStyle w:val="Prrafodelista"/>
        <w:numPr>
          <w:ilvl w:val="0"/>
          <w:numId w:val="7"/>
        </w:numPr>
      </w:pPr>
      <w:r w:rsidRPr="00403E08">
        <w:t>Domingo</w:t>
      </w:r>
      <w:r>
        <w:t xml:space="preserve"> Acosta y Alfredo Cilento Sarli</w:t>
      </w:r>
      <w:r w:rsidRPr="00403E08">
        <w:t xml:space="preserve">. “Edificaciones sostenibles: estrategias de investigación y desarrollo”. </w:t>
      </w:r>
      <w:r w:rsidRPr="000A48C0">
        <w:rPr>
          <w:i/>
        </w:rPr>
        <w:t>Tecnología y Construcción</w:t>
      </w:r>
      <w:r w:rsidRPr="00403E08">
        <w:t xml:space="preserve"> Nº 21 I, 2005: 15-30</w:t>
      </w:r>
    </w:p>
    <w:p w:rsidR="000A48C0" w:rsidRDefault="00AE2D1A" w:rsidP="000A48C0">
      <w:pPr>
        <w:pStyle w:val="Prrafodelista"/>
        <w:numPr>
          <w:ilvl w:val="0"/>
          <w:numId w:val="7"/>
        </w:numPr>
      </w:pPr>
      <w:hyperlink r:id="rId7" w:history="1">
        <w:r w:rsidR="000A48C0" w:rsidRPr="00466745">
          <w:rPr>
            <w:rStyle w:val="Hipervnculo"/>
          </w:rPr>
          <w:t>https://architecture2030.org/</w:t>
        </w:r>
      </w:hyperlink>
    </w:p>
    <w:p w:rsidR="00980EF0" w:rsidRDefault="00980EF0" w:rsidP="00980EF0">
      <w:pPr>
        <w:pStyle w:val="Prrafodelista"/>
        <w:numPr>
          <w:ilvl w:val="0"/>
          <w:numId w:val="7"/>
        </w:numPr>
      </w:pPr>
      <w:r w:rsidRPr="00980EF0">
        <w:t>https://www.cccs.org.co/wp/2016/04/04/tendencias-globales-de-construccion-sostenible-2016/#</w:t>
      </w:r>
    </w:p>
    <w:p w:rsidR="00D36E8D" w:rsidRDefault="00D36E8D" w:rsidP="00D36E8D">
      <w:pPr>
        <w:pStyle w:val="Prrafodelista"/>
        <w:numPr>
          <w:ilvl w:val="0"/>
          <w:numId w:val="7"/>
        </w:numPr>
      </w:pPr>
      <w:r w:rsidRPr="00D36E8D">
        <w:t>https://news.un.org/es/story/2006/02/1073601</w:t>
      </w:r>
    </w:p>
    <w:p w:rsidR="00D36E8D" w:rsidRDefault="00D36E8D" w:rsidP="00D36E8D">
      <w:pPr>
        <w:pStyle w:val="Prrafodelista"/>
      </w:pPr>
    </w:p>
    <w:p w:rsidR="00980EF0" w:rsidRPr="00D93F23" w:rsidRDefault="00980EF0" w:rsidP="00980EF0">
      <w:pPr>
        <w:pStyle w:val="Prrafodelista"/>
        <w:ind w:left="0"/>
      </w:pPr>
      <w:r>
        <w:t>Ninoska Cilento / 2020</w:t>
      </w:r>
    </w:p>
    <w:sectPr w:rsidR="00980EF0" w:rsidRPr="00D93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1A" w:rsidRDefault="00AE2D1A" w:rsidP="0037698A">
      <w:pPr>
        <w:spacing w:after="0" w:line="240" w:lineRule="auto"/>
      </w:pPr>
      <w:r>
        <w:separator/>
      </w:r>
    </w:p>
  </w:endnote>
  <w:endnote w:type="continuationSeparator" w:id="0">
    <w:p w:rsidR="00AE2D1A" w:rsidRDefault="00AE2D1A" w:rsidP="0037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1A" w:rsidRDefault="00AE2D1A" w:rsidP="0037698A">
      <w:pPr>
        <w:spacing w:after="0" w:line="240" w:lineRule="auto"/>
      </w:pPr>
      <w:r>
        <w:separator/>
      </w:r>
    </w:p>
  </w:footnote>
  <w:footnote w:type="continuationSeparator" w:id="0">
    <w:p w:rsidR="00AE2D1A" w:rsidRDefault="00AE2D1A" w:rsidP="0037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563"/>
    <w:multiLevelType w:val="hybridMultilevel"/>
    <w:tmpl w:val="C8B2DAF2"/>
    <w:lvl w:ilvl="0" w:tplc="9A1A81F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6AC"/>
    <w:multiLevelType w:val="hybridMultilevel"/>
    <w:tmpl w:val="DFC8B30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6265"/>
    <w:multiLevelType w:val="hybridMultilevel"/>
    <w:tmpl w:val="0F64E64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6AB7"/>
    <w:multiLevelType w:val="hybridMultilevel"/>
    <w:tmpl w:val="CF101C16"/>
    <w:lvl w:ilvl="0" w:tplc="300ED20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2499"/>
    <w:multiLevelType w:val="hybridMultilevel"/>
    <w:tmpl w:val="B732B204"/>
    <w:lvl w:ilvl="0" w:tplc="2FD8D8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3120"/>
    <w:multiLevelType w:val="hybridMultilevel"/>
    <w:tmpl w:val="10201F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51AB"/>
    <w:multiLevelType w:val="multilevel"/>
    <w:tmpl w:val="A1A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F4"/>
    <w:rsid w:val="000108CA"/>
    <w:rsid w:val="00042245"/>
    <w:rsid w:val="00056865"/>
    <w:rsid w:val="00094C96"/>
    <w:rsid w:val="000A48C0"/>
    <w:rsid w:val="00101D80"/>
    <w:rsid w:val="00176BAB"/>
    <w:rsid w:val="00182558"/>
    <w:rsid w:val="001A294C"/>
    <w:rsid w:val="001C0953"/>
    <w:rsid w:val="001F0E76"/>
    <w:rsid w:val="002140E9"/>
    <w:rsid w:val="00237CCC"/>
    <w:rsid w:val="00287846"/>
    <w:rsid w:val="002C5410"/>
    <w:rsid w:val="00326E65"/>
    <w:rsid w:val="003344BD"/>
    <w:rsid w:val="00353BB7"/>
    <w:rsid w:val="0037698A"/>
    <w:rsid w:val="003A5BFD"/>
    <w:rsid w:val="003F04A3"/>
    <w:rsid w:val="00463380"/>
    <w:rsid w:val="00471AE4"/>
    <w:rsid w:val="004A1468"/>
    <w:rsid w:val="004B2123"/>
    <w:rsid w:val="004C510E"/>
    <w:rsid w:val="00534F54"/>
    <w:rsid w:val="005A2D9E"/>
    <w:rsid w:val="005B7812"/>
    <w:rsid w:val="005F0FA1"/>
    <w:rsid w:val="00620BB9"/>
    <w:rsid w:val="006B6DAF"/>
    <w:rsid w:val="00720C03"/>
    <w:rsid w:val="00734563"/>
    <w:rsid w:val="007479DB"/>
    <w:rsid w:val="0079624B"/>
    <w:rsid w:val="008105F1"/>
    <w:rsid w:val="008A0184"/>
    <w:rsid w:val="008A1CA8"/>
    <w:rsid w:val="008D6E35"/>
    <w:rsid w:val="00933FD3"/>
    <w:rsid w:val="009608A6"/>
    <w:rsid w:val="009643F4"/>
    <w:rsid w:val="00980EF0"/>
    <w:rsid w:val="009872BD"/>
    <w:rsid w:val="009B224E"/>
    <w:rsid w:val="009F1703"/>
    <w:rsid w:val="009F2697"/>
    <w:rsid w:val="00A21EEA"/>
    <w:rsid w:val="00A47537"/>
    <w:rsid w:val="00A6294B"/>
    <w:rsid w:val="00A64508"/>
    <w:rsid w:val="00A71579"/>
    <w:rsid w:val="00A90D9C"/>
    <w:rsid w:val="00AB2033"/>
    <w:rsid w:val="00AE2D1A"/>
    <w:rsid w:val="00B016A8"/>
    <w:rsid w:val="00B02BB4"/>
    <w:rsid w:val="00B24D78"/>
    <w:rsid w:val="00B65BFE"/>
    <w:rsid w:val="00BA7477"/>
    <w:rsid w:val="00BB2FF3"/>
    <w:rsid w:val="00BB6E45"/>
    <w:rsid w:val="00BF35C8"/>
    <w:rsid w:val="00C457D3"/>
    <w:rsid w:val="00CA656B"/>
    <w:rsid w:val="00CC178B"/>
    <w:rsid w:val="00CF37D9"/>
    <w:rsid w:val="00D36E8D"/>
    <w:rsid w:val="00D45F45"/>
    <w:rsid w:val="00D51F8A"/>
    <w:rsid w:val="00D55126"/>
    <w:rsid w:val="00D7277E"/>
    <w:rsid w:val="00D93F23"/>
    <w:rsid w:val="00DB2779"/>
    <w:rsid w:val="00DC543D"/>
    <w:rsid w:val="00DF4680"/>
    <w:rsid w:val="00E03D9D"/>
    <w:rsid w:val="00E13690"/>
    <w:rsid w:val="00E50CCC"/>
    <w:rsid w:val="00E52801"/>
    <w:rsid w:val="00EB65B3"/>
    <w:rsid w:val="00EC2B67"/>
    <w:rsid w:val="00EC76A1"/>
    <w:rsid w:val="00EF1FA9"/>
    <w:rsid w:val="00FC77F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86D53A"/>
  <w15:chartTrackingRefBased/>
  <w15:docId w15:val="{A1B6FC3D-88F1-455E-9577-4D55C23D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7698A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698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769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20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C03"/>
  </w:style>
  <w:style w:type="paragraph" w:styleId="Piedepgina">
    <w:name w:val="footer"/>
    <w:basedOn w:val="Normal"/>
    <w:link w:val="PiedepginaCar"/>
    <w:uiPriority w:val="99"/>
    <w:unhideWhenUsed/>
    <w:rsid w:val="00720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C03"/>
  </w:style>
  <w:style w:type="numbering" w:customStyle="1" w:styleId="Sinlista1">
    <w:name w:val="Sin lista1"/>
    <w:next w:val="Sinlista"/>
    <w:uiPriority w:val="99"/>
    <w:semiHidden/>
    <w:unhideWhenUsed/>
    <w:rsid w:val="00720C03"/>
  </w:style>
  <w:style w:type="character" w:customStyle="1" w:styleId="Hipervnculo1">
    <w:name w:val="Hipervínculo1"/>
    <w:basedOn w:val="Fuentedeprrafopredeter"/>
    <w:uiPriority w:val="99"/>
    <w:unhideWhenUsed/>
    <w:rsid w:val="00720C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0C03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20C0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457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6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tecture203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Ninoska Cilento</dc:creator>
  <cp:keywords/>
  <dc:description/>
  <cp:lastModifiedBy>Ninoska Cilento</cp:lastModifiedBy>
  <cp:revision>4</cp:revision>
  <dcterms:created xsi:type="dcterms:W3CDTF">2020-12-29T11:44:00Z</dcterms:created>
  <dcterms:modified xsi:type="dcterms:W3CDTF">2020-12-29T11:46:00Z</dcterms:modified>
</cp:coreProperties>
</file>